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decisions. Using national administrative data for 12 clinical specialties in Japan (2008-2024), we tested whether litigation risk predicts physician supply and hospital facility counts. We measured exposure as malpractice claims per 1,000 physicians and regressed biennial log-changes in physician and hospital facility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facility-count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levers have produced: for example, targeted residency subsidies raised primary-care physician supply by about 4% in a comparable setting. (McNamara and Pineda-Torres, 2025) This makes the margins conservative but still policy-relevant, and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lever for correcting specialty maldistribution. The 10-year counterfactual showed that eliminating all claims would add only 1.1% to the projected national physician stock under the point estimate, and 5.2% under the most favourable 95% lower-bound coefficient. A generic lever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levers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 xml:space="preserve">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