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t>[Date / your address block — TO BE CONFIRMED]</w:t>
      </w:r>
    </w:p>
    <w:p>
      <w:pPr>
        <w:spacing w:before="240"/>
      </w:pPr>
      <w:r>
        <w:t>The Editors</w:t>
      </w:r>
    </w:p>
    <w:p>
      <w:pPr>
        <w:spacing w:before="40"/>
      </w:pPr>
      <w:r>
        <w:t>Tropical Medicine &amp; International Health</w:t>
      </w:r>
    </w:p>
    <w:p>
      <w:pPr>
        <w:spacing w:before="240"/>
      </w:pPr>
      <w:r>
        <w:t>Dear Editors,</w:t>
      </w:r>
    </w:p>
    <w:p>
      <w:pPr>
        <w:spacing w:before="160"/>
      </w:pPr>
      <w:r>
        <w:t>Please consider our Original Research Article, “Reproducibly digitizable dropout curves are scarce and their hazard shapes heterogeneous: a scoping search and Weibull analysis of loss to follow-up in tuberculosis and HIV treatment”, for publication in Tropical Medicine &amp; International Health.</w:t>
      </w:r>
    </w:p>
    <w:p>
      <w:pPr>
        <w:spacing w:before="160"/>
      </w:pPr>
      <w:r>
        <w:t>Loss to follow-up (LTFU) during tuberculosis (TB) and HIV treatment is a central obstacle to cure, viral suppression and transmission control in resource-limited, high-burden settings. It is already recognized that the determinants of treatment interruption are context-dependent and that adherence interventions transfer poorly between programmes, but retention support is still often chosen by intuition rather than matched to when patients actually disengage. Making such timing decisions requires the dropout curve to be recoverable from the literature, so we ran a reproducible search with an unusual eligibility criterion — that a study make dropout visible over time in a digitizable curve, not merely a final proportion. Two findings follow: such curves are scarce (only seven infectious-disease curves from six studies out of thousands of records), and where they exist the two TB cohorts and the HIV/ART cohorts each split between increasing- and decreasing-hazard shapes, so there is no characteristic shape even within one disease. The practical message is that retention support should be timed to each setting's measured dropout hazard — which also makes its effect verifiable — and that routinely reporting time-to-LTFU curves is needed before disease-specific patterns can be established.</w:t>
      </w:r>
    </w:p>
    <w:p>
      <w:pPr>
        <w:spacing w:before="160"/>
      </w:pPr>
      <w:r>
        <w:t>We believe this fits the scope of Tropical Medicine &amp; International Health: it addresses treatment retention and case management of two major infectious diseases in resource-limited settings, has direct implications for programme implementation and health systems, and is fully reproducible — all source figures, digitized data and analysis code that regenerate every reported number are openly available. The work is original, is not under consideration elsewhere, and all authors approve the submission. We declare no competing interests.</w:t>
      </w:r>
    </w:p>
    <w:p>
      <w:pPr>
        <w:spacing w:before="160"/>
      </w:pPr>
      <w:r>
        <w:t>Thank you for your consideration.</w:t>
      </w:r>
    </w:p>
    <w:p>
      <w:pPr>
        <w:spacing w:before="240"/>
      </w:pPr>
      <w:r>
        <w:t>Sincerely,</w:t>
      </w:r>
    </w:p>
    <w:p>
      <w:pPr>
        <w:spacing w:before="40"/>
      </w:pPr>
      <w:r>
        <w:t>Tatsuki Onishi, on behalf of the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