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3543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BMC Health Services Research</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separating structural access from administrative artefacts. We quantified the respective contributions of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tested robustness to population density and anaesthesiologist supply, log-transformed ratios, and an upper-bound audit-rate impact.</w:t>
      </w:r>
    </w:p>
    <w:p>
      <w:r>
        <w:rPr>
          <w:rFonts w:ascii="Times New Roman" w:hAnsi="Times New Roman"/>
          <w:sz w:val="24"/>
        </w:rPr>
        <w:t>Results: Coefficients of variation ranged from 53.7% to 87.2%. For general anaesthesia, only 5.8% of variance lay between prefectures; university hospital presence explained 35.8% of total variance (P &lt; 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Conclusions: Regional variation in anaesthesia practice is predominantly associated with access to university hospitals rather than with prefectural auditing. In universal-coverage systems this pattern suggests inequitable access to neuraxial techniques; policy efforts may need to address workforce and organisational barriers rather than rely on additional coding audits.</w:t>
      </w:r>
    </w:p>
    <w:p>
      <w:r>
        <w:rPr>
          <w:rFonts w:ascii="Times New Roman" w:hAnsi="Times New Roman"/>
          <w:sz w:val="24"/>
        </w:rPr>
        <w:t>Trial registration: Not applicable.</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equity; universal health coverage; health services research; Japan</w:t>
      </w:r>
    </w:p>
    <w:p>
      <w:r>
        <w:br w:type="page"/>
      </w:r>
    </w:p>
    <w:p>
      <w:pPr>
        <w:spacing w:before="0" w:after="120"/>
      </w:pPr>
      <w:r>
        <w:rPr>
          <w:rFonts w:ascii="Times New Roman" w:hAnsi="Times New Roman"/>
          <w:b/>
          <w:sz w:val="26"/>
        </w:rPr>
        <w:t>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which is an equity problem under universal coverage. Because the FY2022 data predate the 2026 clarification of the general-anaesthesia billing code, any coding ambiguity that existed during the study period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w:t>
      </w:r>
      <w:r>
        <w:rPr>
          <w:rFonts w:ascii="Cambria Math" w:hAnsi="Cambria Math"/>
          <w:sz w:val="24"/>
        </w:rPr>
        <m:oMath>
          <m:r>
            <m:rPr>
              <m:sty m:val="p"/>
            </m:rPr>
            <m:t xml:space="preserve">100</m:t>
          </m:r>
          <m:r>
            <m:rPr>
              <m:sty m:val="p"/>
            </m:rPr>
            <m:t xml:space="preserve">×</m:t>
          </m:r>
          <m:f>
            <m:num>
              <m:r>
                <m:rPr>
                  <m:sty m:val="p"/>
                </m:rPr>
                <m:t xml:space="preserve">O</m:t>
              </m:r>
            </m:num>
            <m:den>
              <m:r>
                <m:rPr>
                  <m:sty m:val="p"/>
                </m:rPr>
                <m:t xml:space="preserve">E</m:t>
              </m:r>
            </m:den>
          </m:f>
        </m:oMath>
      </w:r>
      <w:r>
        <w:rPr>
          <w:rFonts w:ascii="Times New Roman" w:hAnsi="Times New Roman"/>
          <w:sz w:val="24"/>
        </w:rPr>
        <w:t>, where O and E are the observed and expected claim counts.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R²) measured the decrease in total (prefecture-level plus residual) variance after adding the university-hospital fixed effect. We conducted the following sensitivity and robustness analyses: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To examine the audit hypothesis specifically, we used the multilevel variance decomposition, pairwise correlations between codes, an upper-bound estimate of the maximum prefectural audit-rate impact, and a combined general/spinal anaesthesia measure.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National average = 100. SD, standard deviation; IQR, interquartile range; CV, coefficient of variation. L008 = closed-circuit general anaesthesia; L002 = epidural anaesthesia as main technique; L003 = continuous epidural infusion, largely billed as an adjunct to general anaesthesia; L004 = spinal anaesthesia. Areas with low claim volume are masked by the data provider and appear as missing values; the n column reflects the number of secondary medical areas with non-missing values for each code.</w:t>
      </w: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(35.8%; β = +64.1, 95% confidence interval 54.8 to 73.4) and was statistically significant for every code (all P &lt; 0.001) (Table 2). A log-transformed sensitivity model yielded the same direction of association for general anaesthesia (β = 0.75, 95% CI 0.61 to 0.89, P &lt; 0.001), supporting the robustness of the linear model findings to right-skewed ratios and extreme outliers. University hospital areas had higher general anaesthesia ratios than non-university areas in all 47 prefectures, with a mean within-prefecture difference of +63.3 points (t = 13.28, P &lt; 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 0.001), epidural anaesthesia (β = +39.1, 95% CI 14.5 to 63.7, P = 0.002) and continuous epidural infusion (β = +33.9, 95% CI 20.0 to 47.7, P &lt; 0.001). For spinal anaesthesia the point estimate was positive but no longer statistically significant (β = +9.7, 95% CI -4.0 to 23.3, P = 0.165). Population density was positively associated with general anaesthesia ratios (β = 8.3, P &lt; 0.001) but not with the other three codes. The anaesthesiologist share was positively associated with general, epidural, continuous epidural and spinal anaesthesia (general P &lt; 0.001, epidural P = 0.039, continuous epidural P &lt; 0.001 and spinal P = 0.005).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spacing w:before="160" w:after="80"/>
      </w:pPr>
      <w:r>
        <w:rPr>
          <w:rFonts w:ascii="Times New Roman" w:hAnsi="Times New Roman"/>
          <w:b/>
          <w:sz w:val="24"/>
        </w:rPr>
        <w:t>Checks against the audit hypothesis</w:t>
      </w:r>
    </w:p>
    <w:p>
      <w:r>
        <w:rPr>
          <w:rFonts w:ascii="Times New Roman" w:hAnsi="Times New Roman"/>
          <w:sz w:val="24"/>
        </w:rPr>
        <w:t>Several lines of evidence pointed away from differential auditing as the main explanation. First, the multilevel model estimates that only 5.8% of general anaesthesia variance lies between prefectures, where audit policy differs, so differential auditing can account for at most a small share of observed variation. University hospital presence explained 35.8% of total variance in the same model, a structural component far larger than the between-prefecture share. Second, general and spinal anaesthesia were positively correlated (r = 0.235, P &lt; 0.001), as were general and epidural anaesthesia (r = 0.319, P &lt; 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confirming that the structural effect is not erased as an artefact by combining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moderate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The audit-sensitivity checks and robustness analyses pointed away from differential auditing as the main explanation. Because the outcome is a reimbursed claim ratio, the observed gradient reflects billed service delivery rather than bedside intention; however, the within-prefecture structure of the data and the audit-sensitivity analyses make it unlikely that differential scrutiny is the full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attributed primarily to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and consistent with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raises the possibility that billing variation corresponds to variation in care processes that are associated with modifiable patient outcomes, not merely to variation in billing. Because the observed gradient is not explained by differential auditing, interventions may warrant targeting workforce distribution, training and organisational capacity rather than coding compliance.</w:t>
      </w:r>
    </w:p>
    <w:p>
      <w:pPr>
        <w:spacing w:before="160" w:after="80"/>
      </w:pPr>
      <w:r>
        <w:rPr>
          <w:rFonts w:ascii="Times New Roman" w:hAnsi="Times New Roman"/>
          <w:b/>
          <w:sz w:val="24"/>
        </w:rPr>
        <w:t>Implications for perioperative practice and policy</w:t>
      </w:r>
    </w:p>
    <w:p>
      <w:r>
        <w:rPr>
          <w:rFonts w:ascii="Times New Roman" w:hAnsi="Times New Roman"/>
          <w:sz w:val="24"/>
        </w:rPr>
        <w:t>Three potential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suggests a potential equity gap: patients' access to techniques that may improve recovery appears to depend on whether they live near a university hospital. Third, regulators may be better served by addressing workforce and organisational determinants of anaesthesia service delivery rather than treating low regional ratios primarily as coding or fraud issues.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 service-delivery gradient that is consistent with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would benefit from separating administrative from structural sources before interpreting claims data as care variation or a coding issue.</w:t>
      </w:r>
    </w:p>
    <w:p>
      <w:pPr>
        <w:spacing w:before="240" w:after="120"/>
      </w:pPr>
      <w:r>
        <w:rPr>
          <w:rFonts w:ascii="Times New Roman" w:hAnsi="Times New Roman"/>
          <w:b/>
          <w:sz w:val="26"/>
        </w:rPr>
        <w:t>DECLARATIONS</w:t>
      </w:r>
    </w:p>
    <w:p>
      <w:pPr>
        <w:spacing w:before="160" w:after="80"/>
      </w:pPr>
      <w:r>
        <w:rPr>
          <w:rFonts w:ascii="Times New Roman" w:hAnsi="Times New Roman"/>
          <w:b/>
          <w:sz w:val="24"/>
        </w:rPr>
        <w:t>Ethics approval and consent to participate</w:t>
      </w:r>
    </w:p>
    <w:p>
      <w:r>
        <w:rPr>
          <w:rFonts w:ascii="Times New Roman" w:hAnsi="Times New Roman"/>
          <w:sz w:val="24"/>
        </w:rPr>
        <w:t>This study used publicly available aggregate data only. Ethics committee approval was not required under the Ethical Guidelines for Medical and Biological Research Involving Human Subjects (Japan, 2021 revision).</w:t>
      </w:r>
    </w:p>
    <w:p>
      <w:pPr>
        <w:spacing w:before="160" w:after="80"/>
      </w:pPr>
      <w:r>
        <w:rPr>
          <w:rFonts w:ascii="Times New Roman" w:hAnsi="Times New Roman"/>
          <w:b/>
          <w:sz w:val="24"/>
        </w:rPr>
        <w:t>Consent for publication</w:t>
      </w:r>
    </w:p>
    <w:p>
      <w:r>
        <w:rPr>
          <w:rFonts w:ascii="Times New Roman" w:hAnsi="Times New Roman"/>
          <w:sz w:val="24"/>
        </w:rPr>
        <w:t>Not applicable.</w:t>
      </w:r>
    </w:p>
    <w:p>
      <w:pPr>
        <w:spacing w:before="160" w:after="80"/>
      </w:pPr>
      <w:r>
        <w:rPr>
          <w:rFonts w:ascii="Times New Roman" w:hAnsi="Times New Roman"/>
          <w:b/>
          <w:sz w:val="24"/>
        </w:rPr>
        <w:t>Availability of data and materials</w:t>
      </w:r>
    </w:p>
    <w:p>
      <w:r>
        <w:rPr>
          <w:rFonts w:ascii="Times New Roman" w:hAnsi="Times New Roman"/>
          <w:sz w:val="24"/>
        </w:rPr>
        <w:t>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at https://github.com/bougtoir/anesthesia_variation_335_region and archived on Zenodo (https://doi.org/10.5281/zenodo.21912042).</w:t>
      </w:r>
    </w:p>
    <w:p>
      <w:pPr>
        <w:spacing w:before="160" w:after="80"/>
      </w:pPr>
      <w:r>
        <w:rPr>
          <w:rFonts w:ascii="Times New Roman" w:hAnsi="Times New Roman"/>
          <w:b/>
          <w:sz w:val="24"/>
        </w:rPr>
        <w:t>Competing interests</w:t>
      </w:r>
    </w:p>
    <w:p>
      <w:r>
        <w:rPr>
          <w:rFonts w:ascii="Times New Roman" w:hAnsi="Times New Roman"/>
          <w:sz w:val="24"/>
        </w:rPr>
        <w:t>[To be completed by the authors.] No known competing interests.</w:t>
      </w:r>
    </w:p>
    <w:p>
      <w:pPr>
        <w:spacing w:before="160" w:after="80"/>
      </w:pPr>
      <w:r>
        <w:rPr>
          <w:rFonts w:ascii="Times New Roman" w:hAnsi="Times New Roman"/>
          <w:b/>
          <w:sz w:val="24"/>
        </w:rPr>
        <w:t>Funding</w:t>
      </w:r>
    </w:p>
    <w:p>
      <w:r>
        <w:rPr>
          <w:rFonts w:ascii="Times New Roman" w:hAnsi="Times New Roman"/>
          <w:sz w:val="24"/>
        </w:rPr>
        <w:t>[To be completed by the authors.] This work received no specific grant.</w:t>
      </w:r>
    </w:p>
    <w:p>
      <w:pPr>
        <w:spacing w:before="160" w:after="80"/>
      </w:pPr>
      <w:r>
        <w:rPr>
          <w:rFonts w:ascii="Times New Roman" w:hAnsi="Times New Roman"/>
          <w:b/>
          <w:sz w:val="24"/>
        </w:rPr>
        <w:t>Authors' contributions</w:t>
      </w:r>
    </w:p>
    <w:p>
      <w:r>
        <w:rPr>
          <w:rFonts w:ascii="Times New Roman" w:hAnsi="Times New Roman"/>
          <w:sz w:val="24"/>
        </w:rPr>
        <w:t>[To be completed by the authors.]</w:t>
      </w:r>
    </w:p>
    <w:p>
      <w:pPr>
        <w:spacing w:before="160" w:after="80"/>
      </w:pPr>
      <w:r>
        <w:rPr>
          <w:rFonts w:ascii="Times New Roman" w:hAnsi="Times New Roman"/>
          <w:b/>
          <w:sz w:val="24"/>
        </w:rPr>
        <w:t>Use of AI tools</w:t>
      </w:r>
    </w:p>
    <w:p>
      <w:r>
        <w:rPr>
          <w:rFonts w:ascii="Times New Roman" w:hAnsi="Times New Roman"/>
          <w:sz w:val="24"/>
        </w:rPr>
        <w:t>During the preparation of this manuscript the authors used Devin (Cognition AI) as a coding assistant for data processing, statistical modelling, geographic visualisation and manuscript formatting. After using this tool, the authors reviewed and edited the content as needed and take full responsibility for the integrity and accuracy of the published work.</w:t>
      </w:r>
    </w:p>
    <w:p>
      <w:pPr>
        <w:spacing w:before="160" w:after="80"/>
      </w:pPr>
      <w:r>
        <w:rPr>
          <w:rFonts w:ascii="Times New Roman" w:hAnsi="Times New Roman"/>
          <w:b/>
          <w:sz w:val="24"/>
        </w:rPr>
        <w:t>Acknowledgements</w:t>
      </w:r>
    </w:p>
    <w:p>
      <w:r>
        <w:rPr>
          <w:rFonts w:ascii="Times New Roman" w:hAnsi="Times New Roman"/>
          <w:sz w:val="24"/>
        </w:rPr>
        <w:t>The authors thank the Cabinet Office Regional Variation Visualisation initiative, the Ministry of Health, Labour and Welfare, and the Ministry of Land, Infrastructure, Transport and Tourism for maintaining the public datasets used in this study.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p>
      <w:pPr>
        <w:spacing w:before="240" w:after="120"/>
      </w:pPr>
      <w:r>
        <w:rPr>
          <w:rFonts w:ascii="Times New Roman" w:hAnsi="Times New Roman"/>
          <w:b/>
          <w:sz w:val="26"/>
        </w:rPr>
        <w:t>FIGURE LEGENDS</w:t>
      </w:r>
    </w:p>
    <w:p>
      <w:pPr>
        <w:spacing w:after="240"/>
      </w:pPr>
      <w:r>
        <w:rPr>
          <w:rFonts w:ascii="Times New Roman" w:hAnsi="Times New Roman"/>
          <w:b/>
          <w:sz w:val="20"/>
        </w:rPr>
        <w:t>Figure 1. Geographic distribution of anaesthesia standardised claim ratios across 335 secondary medical areas.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 Fiscal year 2022.</w:t>
      </w:r>
    </w:p>
    <w:p>
      <w:pPr>
        <w:spacing w:after="240"/>
      </w:pPr>
      <w:r>
        <w:rPr>
          <w:rFonts w:ascii="Times New Roman" w:hAnsi="Times New Roman"/>
          <w:b/>
          <w:sz w:val="20"/>
        </w:rPr>
        <w:t>Figure 2. University hospital presence and the combined general-epidural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