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Times New Roman" w:hAnsi="Times New Roman"/>
          <w:b/>
          <w:sz w:val="24"/>
        </w:rPr>
        <w:t>Table 1. Distribution of standardised claim ratios across 335 secondary medical areas, fiscal year 2022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Code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n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Mean (SD)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Median (IQR)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Min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CV (%)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L008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334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79.7 (42.8)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73.5 (50.0–103.0)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2.3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435.7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53.7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L004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334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93.8 (53.3)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84.6 (55.8–127.4)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346.5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56.8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L002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307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95.6 (83.4)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76.6 (31.2–133.4)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0.9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519.1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87.2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L003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331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83.5 (54.3)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73.4 (45.0–117.0)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0.4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443.0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65.0</w:t>
            </w:r>
          </w:p>
        </w:tc>
      </w:tr>
    </w:tbl>
    <w:p>
      <w:pPr>
        <w:spacing w:after="240"/>
      </w:pPr>
      <w:r>
        <w:rPr>
          <w:rFonts w:ascii="Times New Roman" w:hAnsi="Times New Roman"/>
          <w:i/>
          <w:sz w:val="20"/>
        </w:rPr>
        <w:t>National average = 100. SD, standard deviation; IQR, interquartile range; CV, coefficient of variation. L008 = closed-circuit general anaesthesia; L002 = epidural anaesthesia as main technique; L003 = continuous epidural infusion, largely billed as an adjunct to general anaesthesia; L004 = spinal anaesthesia. Areas with low claim volume are masked by the data provider and appear as missing values; the n column reflects the number of secondary medical areas with non-missing values for each code.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Table 2. Multilevel model results: standardised claim ratio as outcome, prefecture as random intercept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Code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Null model ICC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β university (95% CI)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 value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Proportional reduction in total variance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L008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0.058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+64.1 (54.8 to 73.4)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&lt;0.001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0.358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L004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0.343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+23.0 (11.0 to 35.1)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&lt;0.001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0.020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L002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0.191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+49.0 (27.2 to 70.8)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&lt;0.001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0.125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L003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0.106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+55.8 (43.0 to 68.7)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&lt;0.001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0.162</w:t>
            </w:r>
          </w:p>
        </w:tc>
      </w:tr>
    </w:tbl>
    <w:p>
      <w:pPr>
        <w:spacing w:after="240"/>
      </w:pPr>
      <w:r>
        <w:rPr>
          <w:rFonts w:ascii="Times New Roman" w:hAnsi="Times New Roman"/>
          <w:i/>
          <w:sz w:val="20"/>
        </w:rPr>
        <w:t>β university, fixed effect coefficient for university hospital presence (binary 0/1); CI, confidence interval; ICC, intraclass correlation coefficient; proportional reduction in total variance, decrease in total (prefecture + residual) variance after adding the university hospital fixed effect.</w:t>
      </w:r>
    </w:p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