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Regional variation in anaesthesia practice in Japan under universal health coverage: structural determinants and claims-audit sensitivity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[Authors and affiliations to be supplied]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[Corresponding author: name, postal address, telephone, email]</w:t>
      </w:r>
    </w:p>
    <w:p/>
    <w:p>
      <w:r>
        <w:rPr>
          <w:rFonts w:ascii="Times New Roman" w:hAnsi="Times New Roman"/>
          <w:b w:val="0"/>
          <w:i/>
          <w:sz w:val="24"/>
        </w:rPr>
        <w:t>Article type: Original research article</w:t>
      </w:r>
    </w:p>
    <w:p>
      <w:r>
        <w:rPr>
          <w:rFonts w:ascii="Times New Roman" w:hAnsi="Times New Roman"/>
          <w:i/>
          <w:sz w:val="24"/>
        </w:rPr>
        <w:t>Word count (main text, excluding abstract, references, tables and figures): approximately 3543 words</w:t>
      </w:r>
    </w:p>
    <w:p>
      <w:r>
        <w:rPr>
          <w:rFonts w:ascii="Times New Roman" w:hAnsi="Times New Roman"/>
          <w:i/>
          <w:sz w:val="24"/>
        </w:rPr>
        <w:t>Tables: 2   Figures: 2   References: 21</w:t>
      </w:r>
    </w:p>
    <w:p>
      <w:r>
        <w:rPr>
          <w:rFonts w:ascii="Times New Roman" w:hAnsi="Times New Roman"/>
          <w:b w:val="0"/>
          <w:i/>
          <w:sz w:val="24"/>
        </w:rPr>
        <w:t>Reporting guideline: STROBE checklist for cross-sectional studies</w:t>
      </w:r>
    </w:p>
    <w:p>
      <w:r>
        <w:rPr>
          <w:rFonts w:ascii="Times New Roman" w:hAnsi="Times New Roman"/>
          <w:b w:val="0"/>
          <w:i/>
          <w:sz w:val="24"/>
        </w:rPr>
        <w:t>Target journal: BMC Health Services Research</w:t>
      </w:r>
    </w:p>
    <w:p/>
    <w:p>
      <w:r>
        <w:rPr>
          <w:rFonts w:ascii="Times New Roman" w:hAnsi="Times New Roman"/>
          <w:b w:val="0"/>
          <w:i w:val="0"/>
          <w:sz w:val="24"/>
        </w:rPr>
        <w:t>Declarations: A complete Declarations section is included in the main manuscript (Ethics approval and consent to participate; Consent for publication; Availability of data and materials; Competing interests; Funding; Authors' contributions; Acknowledgements).</w:t>
      </w:r>
    </w:p>
    <w:p>
      <w:r>
        <w:rPr>
          <w:rFonts w:ascii="Times New Roman" w:hAnsi="Times New Roman"/>
          <w:b w:val="0"/>
          <w:i w:val="0"/>
          <w:sz w:val="24"/>
        </w:rPr>
        <w:t>Patient and public involvement: Patients and the public were not involved in the design, conduct or reporting of this study because it uses aggregate, publicly released data.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