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Perceived malpractice risk and real workforce allocation: a behavioural-economics analysis of litigation risk and physician specialty supply in Japan</w:t>
      </w:r>
    </w:p>
    <w:p>
      <w:pPr>
        <w:jc w:val="center"/>
      </w:pPr>
      <w:r>
        <w:rPr>
          <w:rFonts w:ascii="Times New Roman" w:hAnsi="Times New Roman"/>
          <w:sz w:val="24"/>
        </w:rPr>
        <w:t>Authors: Onishi Tatsuki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Onishi Tatsuki</w:t>
      </w:r>
    </w:p>
    <w:p>
      <w:pPr>
        <w:jc w:val="center"/>
      </w:pPr>
      <w:r>
        <w:rPr>
          <w:rFonts w:ascii="Times New Roman" w:hAnsi="Times New Roman"/>
          <w:sz w:val="24"/>
        </w:rPr>
        <w:t>ORCID: [corresponding author ORCID]    Email: [corresponding author email]</w:t>
      </w:r>
    </w:p>
    <w:p>
      <w:pPr>
        <w:jc w:val="center"/>
      </w:pPr>
      <w:r>
        <w:rPr>
          <w:rFonts w:ascii="Times New Roman" w:hAnsi="Times New Roman"/>
          <w:sz w:val="24"/>
        </w:rPr>
        <w:t>Word count (main text): approximately 4473 words (excluding abstract, references, declarations, tables and figure legends)</w:t>
      </w:r>
    </w:p>
    <w:p>
      <w:pPr>
        <w:jc w:val="center"/>
      </w:pPr>
      <w:r>
        <w:rPr>
          <w:rFonts w:ascii="Times New Roman" w:hAnsi="Times New Roman"/>
          <w:sz w:val="24"/>
        </w:rPr>
        <w:t>Article type: Original research article</w:t>
      </w:r>
    </w:p>
    <w:p>
      <w:pPr>
        <w:jc w:val="center"/>
      </w:pPr>
      <w:r>
        <w:rPr>
          <w:rFonts w:ascii="Times New Roman" w:hAnsi="Times New Roman"/>
          <w:sz w:val="24"/>
        </w:rPr>
        <w:t>Target journal: Behavioural Public Policy (Cambridge Core)</w:t>
      </w:r>
    </w:p>
    <w:p>
      <w:pPr>
        <w:jc w:val="center"/>
      </w:pPr>
      <w:r>
        <w:rPr>
          <w:rFonts w:ascii="Times New Roman" w:hAnsi="Times New Roman"/>
          <w:sz w:val="24"/>
        </w:rPr>
        <w:t>Tables: 2  Figures: 4  Supplementary tables: 8  Supplementary figures: 3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 (https://github.com/bougtoir/medical-accident-its-analysis).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