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analytics, operations research, and decision science for healthcare. Our study sits at this intersection: it treats specialty physician workforce planning as a healthcare resource-allocation problem and uses the litigation-workforce question as a test case for a transparent, reproducible decision-analytics and policy-lever evaluation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 To our knowledge, this is the first application of pre-specified equivalence testing and small-cluster inference diagnostics to the malpractice-litigation workforce literature. We also include a counterfactual policy-lever simulation that projects 2034 physician counts under stylised litigation-reduction and structural-incentive scenarios, making the practical decision implications of the regression results explicit.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 Because these behavioural patterns arise from real-world administrative and clinical data, the study offers a policy-relevant example of how perceived risk and economic incentives interact in medical labour markets.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