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specialty-level physician workforce allocation: a transparent decision-analytics framework for evaluating healthcare workforce policy levers</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global healthcare workforce-allocation problem, and many health systems assume that malpractice-litigation risk pushes physicians away from high-risk specialties. We used this question as a test case for a transparent, reproducible decision-analytics and operations-research framework that evaluates a proposed workforce policy lever while avoiding size confounding and interpolation artifacts in sparse administrative panels. Using national primary data for 12 specialties in Japan (2008–2024), we measured exposure as closed malpractice claims per 1,000 physicians (rate, not count) and regressed biennial log-change in physicians and hospitals on the lagged litigation rate in a panel with specialty and wave fixed effects, cluster-robust standard errors with a small-cluster t(G-1) correction, a cluster block-bootstrap robustness check, two one-sided equivalence (TOST) tests, and power diagnostics. The workforce grew in 11 of 12 specialties; general surgery, which changed by -2.3%, was the exception. Litigation rate was not associated with physician growth (coefficient -0.0009; 95% CI -0.0043 to +0.0025; p=0.56) or hospital growth (p=0.90). A one-SD higher rate changed physician growth by less than ±1% (TOST p=0.023; less than ±2% was p=&lt;0.001); the minimum detectable effect was 1.08% per SD at 80% power. Hospital growth was within ±2% (p=0.002) but not the stricter ±1% margin (p=0.059). Sensitivity analyses were unchanged. Specialty-level litigation risk is not associated with workforce decline in these national data. The decision-analytics and operations-research framework is exportable to other healthcare workforce-policy levers.</w:t>
      </w:r>
    </w:p>
    <w:p>
      <w:pPr>
        <w:spacing w:after="360"/>
      </w:pPr>
      <w:r>
        <w:rPr>
          <w:rFonts w:ascii="Times New Roman" w:hAnsi="Times New Roman"/>
          <w:b/>
        </w:rPr>
        <w:t xml:space="preserve">Keywords: </w:t>
      </w:r>
      <w:r>
        <w:rPr>
          <w:rFonts w:ascii="Times New Roman" w:hAnsi="Times New Roman"/>
          <w:b w:val="0"/>
          <w:i w:val="0"/>
          <w:sz w:val="24"/>
        </w:rPr>
        <w:t>malpractice litigation; physician workforce; specialty maldistribution; equivalence testing; healthcare decision analytics; operations research</w:t>
      </w:r>
    </w:p>
    <w:p>
      <w:pPr>
        <w:pStyle w:val="Heading1"/>
      </w:pPr>
      <w:r>
        <w:rPr>
          <w:rFonts w:ascii="Times New Roman" w:hAnsi="Times New Roman"/>
          <w:color w:val="000000"/>
        </w:rPr>
        <w:t>1. Introduction</w:t>
      </w:r>
    </w:p>
    <w:p>
      <w:pPr>
        <w:spacing w:line="480" w:lineRule="auto" w:after="120"/>
      </w:pPr>
      <w:r>
        <w:rPr>
          <w:rFonts w:ascii="Times New Roman" w:hAnsi="Times New Roman"/>
          <w:b w:val="0"/>
          <w:i w:val="0"/>
          <w:sz w:val="24"/>
        </w:rPr>
        <w:t>Specialty maldistribution is a global healthcare workforce allocation challenge: high-acuity fields such as surgery, obstetrics and gynaecology, paediatrics and emergency care are widely perceived as understaffed across many health systems.</w:t>
      </w:r>
      <w:r>
        <w:rPr>
          <w:rFonts w:ascii="Times New Roman" w:hAnsi="Times New Roman"/>
          <w:vertAlign w:val="superscript"/>
        </w:rPr>
        <w:t>[1]</w:t>
      </w:r>
      <w:r>
        <w:rPr>
          <w:rFonts w:ascii="Times New Roman" w:hAnsi="Times New Roman"/>
          <w:b w:val="0"/>
          <w:i w:val="0"/>
          <w:sz w:val="24"/>
        </w:rPr>
        <w:t xml:space="preserve"> A recurring policy intuition is that medical safety incidents and the threat of malpractice litigation push physicians away from high-risk specialties toward lower-risk practice.</w:t>
      </w:r>
      <w:r>
        <w:rPr>
          <w:rFonts w:ascii="Times New Roman" w:hAnsi="Times New Roman"/>
          <w:vertAlign w:val="superscript"/>
        </w:rPr>
        <w:t>[2-3]</w:t>
      </w:r>
      <w:r>
        <w:rPr>
          <w:rFonts w:ascii="Times New Roman" w:hAnsi="Times New Roman"/>
          <w:b w:val="0"/>
          <w:i w:val="0"/>
          <w:sz w:val="24"/>
        </w:rPr>
        <w:t xml:space="preserve"> If true, reducing litigation exposure would be a lever against maldistribution. Japan provides a well-documented national setting in which to test this intuition: it tracks closed malpractice claims, physician counts and hospital counts by specialty, and it faces the same fee-for-service and specialty-training pressures seen in other high-income countries.</w:t>
      </w:r>
    </w:p>
    <w:p>
      <w:pPr>
        <w:spacing w:line="480" w:lineRule="auto" w:after="120"/>
      </w:pPr>
      <w:r>
        <w:rPr>
          <w:rFonts w:ascii="Times New Roman" w:hAnsi="Times New Roman"/>
          <w:b w:val="0"/>
          <w:i w:val="0"/>
          <w:sz w:val="24"/>
        </w:rPr>
        <w:t>Prior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From a decision-analytics perspective, the relevant question is not whether litigation risk is correlated with raw counts, but whether it is a policy lever that workforce planners can use to shift specialty supply. We therefore treat the litigation-workforce question as a test case for a transparent, reproducible decision-analytics and operations-research framework for healthcare workforce allocation and resource planning. This is, to our knowledge, the first application of pre-specified equivalence testing and small-cluster inference diagnostics to the malpractice-litigation workforce literature.</w:t>
      </w:r>
    </w:p>
    <w:p>
      <w:pPr>
        <w:spacing w:line="480" w:lineRule="auto" w:after="120"/>
      </w:pPr>
      <w:r>
        <w:rPr>
          <w:rFonts w:ascii="Times New Roman" w:hAnsi="Times New Roman"/>
          <w:b w:val="0"/>
          <w:i w:val="0"/>
          <w:sz w:val="24"/>
        </w:rPr>
        <w:t>We therefore examined the question using rates rather than counts, using only measured biennial physician observations, and using equivalence testing—which can provide positive evidence for the absence of a meaningful effect rather than merely failing to reject a null.</w:t>
      </w:r>
      <w:r>
        <w:rPr>
          <w:rFonts w:ascii="Times New Roman" w:hAnsi="Times New Roman"/>
          <w:vertAlign w:val="superscript"/>
        </w:rPr>
        <w:t>[4-5]</w:t>
      </w:r>
      <w:r>
        <w:rPr>
          <w:rFonts w:ascii="Times New Roman" w:hAnsi="Times New Roman"/>
          <w:b w:val="0"/>
          <w:i w:val="0"/>
          <w:sz w:val="24"/>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vertAlign w:val="superscript"/>
        </w:rPr>
        <w:t>[6]</w:t>
      </w:r>
    </w:p>
    <w:p>
      <w:pPr>
        <w:pStyle w:val="Heading1"/>
      </w:pPr>
      <w:r>
        <w:rPr>
          <w:rFonts w:ascii="Times New Roman" w:hAnsi="Times New Roman"/>
          <w:color w:val="000000"/>
        </w:rPr>
        <w:t>2. Materials and methods</w:t>
      </w:r>
    </w:p>
    <w:p>
      <w:pPr>
        <w:pStyle w:val="Heading2"/>
      </w:pPr>
      <w:r>
        <w:rPr>
          <w:rFonts w:ascii="Times New Roman" w:hAnsi="Times New Roman"/>
          <w:color w:val="000000"/>
        </w:rPr>
        <w:t>2.1. 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w:t>
      </w:r>
      <w:r>
        <w:rPr>
          <w:rFonts w:ascii="Times New Roman" w:hAnsi="Times New Roman"/>
          <w:vertAlign w:val="superscript"/>
        </w:rPr>
        <w:t>[7]</w:t>
      </w:r>
      <w:r>
        <w:rPr>
          <w:rFonts w:ascii="Times New Roman" w:hAnsi="Times New Roman"/>
          <w:b w:val="0"/>
          <w:i w:val="0"/>
          <w:sz w:val="24"/>
        </w:rPr>
        <w:t xml:space="preserve"> We studied 12 core clinical specialties in Japan for which the Supreme Court reports specialty-specific litigation. Three official primary series drove the main analysis: physician counts by specialty from the biennial Statistics of Physicians, Dentists and Pharmacists</w:t>
      </w:r>
      <w:r>
        <w:rPr>
          <w:rFonts w:ascii="Times New Roman" w:hAnsi="Times New Roman"/>
          <w:vertAlign w:val="superscript"/>
        </w:rPr>
        <w:t>[8]</w:t>
      </w:r>
      <w:r>
        <w:rPr>
          <w:rFonts w:ascii="Times New Roman" w:hAnsi="Times New Roman"/>
          <w:b w:val="0"/>
          <w:i w:val="0"/>
          <w:sz w:val="24"/>
        </w:rPr>
        <w:t>; closed malpractice claims by specialty from the Supreme Court of Japan</w:t>
      </w:r>
      <w:r>
        <w:rPr>
          <w:rFonts w:ascii="Times New Roman" w:hAnsi="Times New Roman"/>
          <w:vertAlign w:val="superscript"/>
        </w:rPr>
        <w:t>[9]</w:t>
      </w:r>
      <w:r>
        <w:rPr>
          <w:rFonts w:ascii="Times New Roman" w:hAnsi="Times New Roman"/>
          <w:b w:val="0"/>
          <w:i w:val="0"/>
          <w:sz w:val="24"/>
        </w:rPr>
        <w:t>; and hospital counts by specialty from the annual Survey of Medical Institutions</w:t>
      </w:r>
      <w:r>
        <w:rPr>
          <w:rFonts w:ascii="Times New Roman" w:hAnsi="Times New Roman"/>
          <w:vertAlign w:val="superscript"/>
        </w:rPr>
        <w:t>[10]</w:t>
      </w:r>
      <w:r>
        <w:rPr>
          <w:rFonts w:ascii="Times New Roman" w:hAnsi="Times New Roman"/>
          <w:b w:val="0"/>
          <w:i w:val="0"/>
          <w:sz w:val="24"/>
        </w:rPr>
        <w:t>. Two sensitivity series were also used: annual medical accident investigation reports by specialty from the Japan Medical Safety Research Organisation (JMSR, 2015-2024)</w:t>
      </w:r>
      <w:r>
        <w:rPr>
          <w:rFonts w:ascii="Times New Roman" w:hAnsi="Times New Roman"/>
          <w:vertAlign w:val="superscript"/>
        </w:rPr>
        <w:t>[11]</w:t>
      </w:r>
      <w:r>
        <w:rPr>
          <w:rFonts w:ascii="Times New Roman" w:hAnsi="Times New Roman"/>
          <w:b w:val="0"/>
          <w:i w:val="0"/>
          <w:sz w:val="24"/>
        </w:rPr>
        <w:t xml:space="preserve"> and total national newspaper article counts from Nikkei Telecom 21 (2004-2018; the sensitivity analysis uses 2009-2018; keywords: medical error + medical malpractice).</w:t>
      </w:r>
      <w:r>
        <w:rPr>
          <w:rFonts w:ascii="Times New Roman" w:hAnsi="Times New Roman"/>
          <w:vertAlign w:val="superscript"/>
        </w:rPr>
        <w:t>[12]</w:t>
      </w:r>
      <w:r>
        <w:rPr>
          <w:rFonts w:ascii="Times New Roman" w:hAnsi="Times New Roman"/>
          <w:b w:val="0"/>
          <w:i w:val="0"/>
          <w:sz w:val="24"/>
        </w:rPr>
        <w:t xml:space="preserve"> The full extraction pipeline (with source identifiers and SHA-256 checksums) is documented in the accompanying repository (https://github.com/bougtoir/medical-accident-its-analysis).</w:t>
      </w:r>
    </w:p>
    <w:p>
      <w:pPr>
        <w:spacing w:line="480" w:lineRule="auto" w:after="120"/>
      </w:pPr>
      <w:r>
        <w:rPr>
          <w:rFonts w:ascii="Times New Roman" w:hAnsi="Times New Roman"/>
          <w:b w:val="0"/>
          <w:i w:val="0"/>
          <w:sz w:val="24"/>
        </w:rPr>
        <w:t>As context for the specialty-training pipeline, first-year specialist-trainee (senkoi) counts in 2018 and counts of physicians 3–5 years after medical registration in 2014 were summarised by specialty; coverage rates range widely across the 12 primary fields (Supplementary Table 8).</w:t>
      </w:r>
      <w:r>
        <w:rPr>
          <w:rFonts w:ascii="Times New Roman" w:hAnsi="Times New Roman"/>
          <w:vertAlign w:val="superscript"/>
        </w:rPr>
        <w:t>[13-14]</w:t>
      </w:r>
    </w:p>
    <w:p>
      <w:pPr>
        <w:spacing w:line="480" w:lineRule="auto" w:after="120"/>
      </w:pPr>
      <w:r>
        <w:rPr>
          <w:rFonts w:ascii="Times New Roman" w:hAnsi="Times New Roman"/>
          <w:b w:val="0"/>
          <w:i w:val="0"/>
          <w:sz w:val="24"/>
        </w:rPr>
        <w:t>Physician counts use the principal 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vertAlign w:val="superscript"/>
        </w:rPr>
        <w:t>[9]</w:t>
      </w:r>
      <w:r>
        <w:rPr>
          <w:rFonts w:ascii="Times New Roman" w:hAnsi="Times New Roman"/>
          <w:b w:val="0"/>
          <w:i w:val="0"/>
          <w:sz w:val="24"/>
        </w:rPr>
        <w:t xml:space="preserve"> We distinguish litigation from the Medical Accident Investigation System, which began in 2015 and covers only deaths and stillbirths judged unforeseen by the hospital administrator; it is not a general incident-reporting system and is not used as an exposure here.</w:t>
      </w:r>
      <w:r>
        <w:rPr>
          <w:rFonts w:ascii="Times New Roman" w:hAnsi="Times New Roman"/>
          <w:vertAlign w:val="superscript"/>
        </w:rPr>
        <w:t>[15]</w:t>
      </w:r>
      <w:r>
        <w:rPr>
          <w:rFonts w:ascii="Times New Roman" w:hAnsi="Times New Roman"/>
          <w:b w:val="0"/>
          <w:i w:val="0"/>
          <w:sz w:val="24"/>
        </w:rPr>
        <w:t xml:space="preserve"> Primary data sources and their resolution are summarised in Supplementary Table 1.</w:t>
      </w:r>
    </w:p>
    <w:p>
      <w:pPr>
        <w:pStyle w:val="Heading2"/>
      </w:pPr>
      <w:r>
        <w:rPr>
          <w:rFonts w:ascii="Times New Roman" w:hAnsi="Times New Roman"/>
          <w:color w:val="000000"/>
        </w:rPr>
        <w:t>2.2. Statistical analysis</w:t>
      </w:r>
    </w:p>
    <w:p>
      <w:pPr>
        <w:spacing w:line="480" w:lineRule="auto" w:after="120"/>
      </w:pPr>
      <w:r>
        <w:rPr>
          <w:rFonts w:ascii="Times New Roman" w:hAnsi="Times New Roman"/>
          <w:b w:val="0"/>
          <w:i w:val="0"/>
          <w:sz w:val="24"/>
        </w:rPr>
        <w:t>We formalised the evaluation as a sensitivity-analysis framework that varies the exposure definition (counts versus rates), panel frequency (measured biennial waves versus interpolated annual values), and potential confounders (JMSR reports, media coverage, JOCS-CP period) while holding the specialty-level panel structure constant.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vertAlign w:val="superscript"/>
        </w:rPr>
        <w:t>[16]</w:t>
      </w:r>
      <w:r>
        <w:rPr>
          <w:rFonts w:ascii="Times New Roman" w:hAnsi="Times New Roman"/>
          <w:b w:val="0"/>
          <w:i w:val="0"/>
          <w:sz w:val="24"/>
        </w:rPr>
        <w:t xml:space="preserve"> Clusters are defined by specialty, so G=12 and the small-cluster correction uses a t-distribution with G-1 degrees of freedom for all cluster-robust inference. Supplementary Figure 1 summarises the sensitivity-analysis framework. The primary estimating equation, for specialty s and wave t, was as follows.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m:t>
        </m:r>
        <m:sSub>
          <m:e>
            <m:r>
              <m:t>ϵ</m:t>
            </m:r>
          </m:e>
          <m:sub>
            <m:r>
              <m:t>st</m:t>
            </m:r>
          </m:sub>
        </m:sSub>
      </m:oMath>
    </w:p>
    <w:p>
      <w:pPr>
        <w:spacing w:line="480" w:lineRule="auto" w:after="120"/>
      </w:pPr>
      <w:r>
        <w:rPr>
          <w:rFonts w:ascii="Times New Roman" w:hAnsi="Times New Roman"/>
          <w:b w:val="0"/>
          <w:i w:val="0"/>
          <w:sz w:val="24"/>
        </w:rPr>
        <w:t>Here, Y is either physicians or hospitals,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w:t>
      </w:r>
      <w:r>
        <w:rPr>
          <w:rFonts w:ascii="Times New Roman" w:hAnsi="Times New Roman"/>
          <w:vertAlign w:val="superscript"/>
        </w:rPr>
        <w:t>[4-5]</w:t>
      </w:r>
      <w:r>
        <w:rPr>
          <w:rFonts w:ascii="Times New Roman" w:hAnsi="Times New Roman"/>
          <w:b w:val="0"/>
          <w:i w:val="0"/>
          <w:sz w:val="24"/>
        </w:rPr>
        <w:t xml:space="preserve"> For a pre-specified margin m, the two one-sided null hypotheses are</w:t>
      </w:r>
    </w:p>
    <w:p>
      <w:pPr>
        <w:jc w:val="center"/>
      </w:pPr>
      <m:oMath xmlns:mml="http://www.w3.org/1998/Math/MathML">
        <m:sSub>
          <m:e>
            <m:r>
              <m:t>H</m:t>
            </m:r>
          </m:e>
          <m:sub>
            <m:r>
              <m:t>0</m:t>
            </m:r>
          </m:sub>
        </m:sSub>
        <m:r>
          <m:t>:β≤−m</m:t>
        </m:r>
        <m:r>
          <m:rPr>
            <m:nor/>
          </m:rPr>
          <m:t>and</m:t>
        </m:r>
        <m:sSub>
          <m:e>
            <m:r>
              <m:t>H</m:t>
            </m:r>
          </m:e>
          <m:sub>
            <m:r>
              <m:t>0</m:t>
            </m:r>
          </m:sub>
        </m:sSub>
        <m:r>
          <m:t>:β≥+m</m:t>
        </m:r>
      </m:oMath>
    </w:p>
    <w:p>
      <w:pPr>
        <w:spacing w:line="480" w:lineRule="auto" w:after="120"/>
      </w:pPr>
      <w:r>
        <w:rPr>
          <w:rFonts w:ascii="Times New Roman" w:hAnsi="Times New Roman"/>
          <w:b w:val="0"/>
          <w:i w:val="0"/>
          <w:sz w:val="24"/>
        </w:rPr>
        <w:t>Equivalence is declared when both one-sided tests yield p &lt; alpha. We used margins of 1% and 2% biennial workforce change because they are smaller than typical policy targets for specialty workforce rebalancing and represent changes that workforce planners would consider substantively small.</w:t>
      </w:r>
    </w:p>
    <w:p>
      <w:pPr>
        <w:spacing w:line="480" w:lineRule="auto" w:after="120"/>
      </w:pPr>
      <w:r>
        <w:rPr>
          <w:rFonts w:ascii="Times New Roman" w:hAnsi="Times New Roman"/>
          <w:b w:val="0"/>
          <w:i w:val="0"/>
          <w:sz w:val="24"/>
        </w:rPr>
        <w:t>We complemented the analytical small-cluster inference with two diagnostic quantities. First, a cluster block-bootstrap with B = 1,999 replications resampled specialties with replacement, re-fitted the primary model, and reported percentile bootstrap 95% confidence intervals and a bootstrap p-value based on the distribution of absolute t-statistics. Second, we report the minimum detectable effect (MDE) at 80% power for the per-SD litigation-rate coefficient and the power to declare equivalence when the true effect is zero. The MDE is (t(0.975, df) + t(0.80, df)) × SE; the equivalence power is 2·F_t(m/SE) − 1, where F_t is the cumulative distribution of the t(df) distribution. These diagnostics make the limited-panel information explicit to workforce planners evaluating this policy lever.</w:t>
      </w:r>
    </w:p>
    <w:p>
      <w:pPr>
        <w:pStyle w:val="Heading2"/>
      </w:pPr>
      <w:r>
        <w:rPr>
          <w:rFonts w:ascii="Times New Roman" w:hAnsi="Times New Roman"/>
          <w:color w:val="000000"/>
        </w:rPr>
        <w:t>2.3. Policy lever simulation</w:t>
      </w:r>
    </w:p>
    <w:p>
      <w:pPr>
        <w:spacing w:line="480" w:lineRule="auto" w:after="120"/>
      </w:pPr>
      <w:r>
        <w:rPr>
          <w:rFonts w:ascii="Times New Roman" w:hAnsi="Times New Roman"/>
          <w:b w:val="0"/>
          <w:i w:val="0"/>
          <w:sz w:val="24"/>
        </w:rPr>
        <w:t>To translate the regression results into a decision-analytics and operations-research output, we projected physician counts to 2034 under three stylised policy levers. The baseline used each specialty's observed mean biennial log-growth from 2004 to 2024. The two litigation-reduction levers set the litigation rate to zero and applied the point estimate and the 95% lower-bound coefficient, respectively, so they show both the central projection and the most favourable effect consistent with the data. The third lever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reported confidence intervals and two-sided p-values use a t-distribution with G-1 = 11 degrees of freedom, the small-cluster correction recommended by Cameron and Miller.</w:t>
      </w:r>
      <w:r>
        <w:rPr>
          <w:rFonts w:ascii="Times New Roman" w:hAnsi="Times New Roman"/>
          <w:vertAlign w:val="superscript"/>
        </w:rPr>
        <w:t>[17]</w:t>
      </w:r>
      <w:r>
        <w:rPr>
          <w:rFonts w:ascii="Times New Roman" w:hAnsi="Times New Roman"/>
          <w:b w:val="0"/>
          <w:i w:val="0"/>
          <w:sz w:val="24"/>
        </w:rPr>
        <w:t xml:space="preserve"> An indicator for obstetrics and gynaecology from 2009 onward captured the JOCS-CP period.</w:t>
      </w:r>
      <w:r>
        <w:rPr>
          <w:rFonts w:ascii="Times New Roman" w:hAnsi="Times New Roman"/>
          <w:vertAlign w:val="superscript"/>
        </w:rPr>
        <w:t>[6]</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(iii) raw counts instead of rates, (iv) the annual hospital series 2016-2024 additionally controlling for the JMSR report rate (reports per 1,000 physicians), and (v) the annual hospital series 2009–2018 additionally controlling for total Nikkei Telecom article counts. Because the article-count series is a national yearly variable, it is collinear with full wave fixed effects; this sensitivity therefore uses specialty fixed effects plus a linear time trend rather than wave dummies. The JOCS-CP indicator and all sensitivity models are exploratory; we report raw p-values and Holm step-down adjusted p-values for this family. Analyses used Python (statsmodels); code and data are openly available at https://github.com/bougtoir/medical-accident-its-analysis.</w:t>
      </w:r>
    </w:p>
    <w:p>
      <w:pPr>
        <w:pStyle w:val="Heading1"/>
      </w:pPr>
      <w:r>
        <w:rPr>
          <w:rFonts w:ascii="Times New Roman" w:hAnsi="Times New Roman"/>
          <w:color w:val="000000"/>
        </w:rPr>
        <w:t>3. Results</w:t>
      </w:r>
    </w:p>
    <w:p>
      <w:pPr>
        <w:pStyle w:val="Heading2"/>
      </w:pPr>
      <w:r>
        <w:rPr>
          <w:rFonts w:ascii="Times New Roman" w:hAnsi="Times New Roman"/>
          <w:color w:val="000000"/>
        </w:rPr>
        <w:t>3.1. 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essentially flat (-2.3% across 16 years). Exposure and workforce therefore did not move in opposite directions as a flight-from-risk account would predict.</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3.2. 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3.3. Small-cluster robustness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growth the minimum detectable effect was 1.69% per SD and the equivalent power for the ±1% margin was 90.4%. The panel is therefore informative enough to rule out policy-relevant effects for physicians, and to bound any hospital effect within a small margin.</w:t>
      </w:r>
    </w:p>
    <w:p>
      <w:pPr>
        <w:pStyle w:val="Heading2"/>
      </w:pPr>
      <w:r>
        <w:rPr>
          <w:rFonts w:ascii="Times New Roman" w:hAnsi="Times New Roman"/>
          <w:color w:val="000000"/>
        </w:rPr>
        <w:t>3.4. 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is robust to panel frequency and exposure definition. The JOCS-CP indicator was positive in sign in the obstetric-hospital model (coefficient +0.024, raw p=0.013), but it did not remain significant after the small-cluster correction and Holm adjustment for the exploratory sensitivity family (Holm p=0.119); we therefore treat it as exploratory and do not interpret it as a causal policy effect.</w:t>
      </w:r>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The same count-versus-rate contrast for biennial hospital growth is shown in Figure 3. As with physician growth, the count exposure creates a spurious size confound that disappears once the rate-adjusted exposure is used.</w:t>
      </w:r>
    </w:p>
    <w:p>
      <w:pPr>
        <w:spacing w:before="280" w:after="120"/>
      </w:pPr>
      <w:r>
        <w:rPr>
          <w:rFonts w:ascii="Times New Roman" w:hAnsi="Times New Roman"/>
          <w:b/>
          <w:sz w:val="20"/>
        </w:rPr>
        <w:t>Figure 3. Biennial hospital growth against lagged litigation exposure measured as (a) counts and (b) rates. Points are coloured by specialty; the rate-adjusted panel shows no systematic association.</w:t>
      </w:r>
    </w:p>
    <w:p>
      <w:pPr>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ha_Figure_3.png"/>
                    <pic:cNvPicPr/>
                  </pic:nvPicPr>
                  <pic:blipFill>
                    <a:blip r:embed="rId11"/>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w:t>
      </w:r>
      <w:r>
        <w:rPr>
          <w:rFonts w:ascii="Times New Roman" w:hAnsi="Times New Roman"/>
          <w:vertAlign w:val="superscript"/>
        </w:rPr>
        <w:t>[15]</w:t>
      </w:r>
      <w:r>
        <w:rPr>
          <w:rFonts w:ascii="Times New Roman" w:hAnsi="Times New Roman"/>
          <w:b w:val="0"/>
          <w:i w:val="0"/>
          <w:sz w:val="24"/>
        </w:rPr>
        <w:t xml:space="preserve">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growth for 2016-2024 that included both the lagged litigation rate and the lagged JMSR report rate left the litigation coefficient essentially unchanged (+0.0021; p=0.28) and the JMSR term was not associated with hospital growth (p=0.66; Supplementary Table 3). The null litigation result is therefore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w:t>
      </w:r>
      <w:r>
        <w:rPr>
          <w:rFonts w:ascii="Times New Roman" w:hAnsi="Times New Roman"/>
          <w:vertAlign w:val="superscript"/>
        </w:rPr>
        <w:t>[12]</w:t>
      </w:r>
      <w:r>
        <w:rPr>
          <w:rFonts w:ascii="Times New Roman" w:hAnsi="Times New Roman"/>
          <w:b w:val="0"/>
          <w:i w:val="0"/>
          <w:sz w:val="24"/>
        </w:rPr>
        <w:t xml:space="preserve">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growth for 2009-2018 that included both the lagged litigation rate and the lagged article count (per 1,000 articles) left the litigation coefficient essentially unchanged and the media term was not associated with hospital growth (p=0.21; Supplementary Table 4). Media coverage therefore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3.5. Policy lever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lever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Full projected 2034 physician counts by specialty and lever are reported in Supplementary Table 7; Figure 4 summarises the same information as marginal percentage changes. Litigation reduction is therefore not a high-leverage instrument for workforce allocation in this setting.</w:t>
      </w:r>
    </w:p>
    <w:p>
      <w:pPr>
        <w:spacing w:before="280" w:after="120"/>
      </w:pPr>
      <w:r>
        <w:rPr>
          <w:rFonts w:ascii="Times New Roman" w:hAnsi="Times New Roman"/>
          <w:b/>
          <w:sz w:val="20"/>
        </w:rPr>
        <w:t>Figure 4. Counterfactual policy-lever simulation: marginal 10-year change in physician counts by specialty relative to the projected baseline drift. The MDE benchmark is the minimum detectable per-SD effect from the primary analysis.</w:t>
      </w:r>
    </w:p>
    <w:p>
      <w:pPr>
        <w:jc w:val="center"/>
      </w:pPr>
      <w:r>
        <w:drawing>
          <wp:inline xmlns:a="http://schemas.openxmlformats.org/drawingml/2006/main" xmlns:pic="http://schemas.openxmlformats.org/drawingml/2006/picture">
            <wp:extent cx="5303520" cy="2410691"/>
            <wp:docPr id="4" name="Picture 4"/>
            <wp:cNvGraphicFramePr>
              <a:graphicFrameLocks noChangeAspect="1"/>
            </wp:cNvGraphicFramePr>
            <a:graphic>
              <a:graphicData uri="http://schemas.openxmlformats.org/drawingml/2006/picture">
                <pic:pic>
                  <pic:nvPicPr>
                    <pic:cNvPr id="0" name="ha_Figure_4.png"/>
                    <pic:cNvPicPr/>
                  </pic:nvPicPr>
                  <pic:blipFill>
                    <a:blip r:embed="rId12"/>
                    <a:stretch>
                      <a:fillRect/>
                    </a:stretch>
                  </pic:blipFill>
                  <pic:spPr>
                    <a:xfrm>
                      <a:off x="0" y="0"/>
                      <a:ext cx="5303520" cy="2410691"/>
                    </a:xfrm>
                    <a:prstGeom prst="rect"/>
                  </pic:spPr>
                </pic:pic>
              </a:graphicData>
            </a:graphic>
          </wp:inline>
        </w:drawing>
      </w:r>
    </w:p>
    <w:p/>
    <w:p>
      <w:pPr>
        <w:pStyle w:val="Heading1"/>
      </w:pPr>
      <w:r>
        <w:rPr>
          <w:rFonts w:ascii="Times New Roman" w:hAnsi="Times New Roman"/>
          <w:color w:val="000000"/>
        </w:rPr>
        <w:t>4. Discussion</w:t>
      </w:r>
    </w:p>
    <w:p>
      <w:pPr>
        <w:spacing w:line="480" w:lineRule="auto" w:after="120"/>
      </w:pPr>
      <w:r>
        <w:rPr>
          <w:rFonts w:ascii="Times New Roman" w:hAnsi="Times New Roman"/>
          <w:b w:val="0"/>
          <w:i w:val="0"/>
          <w:sz w:val="24"/>
        </w:rPr>
        <w:t>Using national primary data, rates rather than counts, and only measured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growth is smaller than 2% (but not confidently smaller than 1%). These data therefore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A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Several interpretations are consistent with this finding. First, litigation risk may affect clinical behaviour on the intensive margin (defensive medicine) rather than the extensive margin (specialty exit). Second, the closed-claim rate is an objective measure, but the perceived risk that drives career decisions may be shaped more by rare, salient criminal prosecutions and media coverage than by routine civil claims. Third, high-risk specialties in Japan also carry substantial fee-for-service returns, so income effects, switching costs and status-quo bias can offset any deterrent. Finally, the negative finding is informative in its own right: studies that reject a commonly assumed policy mechanism are under-represented in the literature, and a well-powered equivalence result reduces the risk that policy is directed at an ineffective lever.</w:t>
      </w:r>
      <w:r>
        <w:rPr>
          <w:rFonts w:ascii="Times New Roman" w:hAnsi="Times New Roman"/>
          <w:vertAlign w:val="superscript"/>
        </w:rPr>
        <w:t>[18-20]</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spacing w:line="480" w:lineRule="auto" w:after="120"/>
      </w:pPr>
      <w:r>
        <w:rPr>
          <w:rFonts w:ascii="Times New Roman" w:hAnsi="Times New Roman"/>
          <w:b w:val="0"/>
          <w:i w:val="0"/>
          <w:sz w:val="24"/>
        </w:rPr>
        <w:t>International evidence on tort reform and physician supply is consistent with a small or context-specific effect. Matsa found that U.S. state damage caps increased the supply of frontier rural specialists by 10-12 percent, but did not affect physician supply for the average resident.</w:t>
      </w:r>
      <w:r>
        <w:rPr>
          <w:rFonts w:ascii="Times New Roman" w:hAnsi="Times New Roman"/>
          <w:vertAlign w:val="superscript"/>
        </w:rPr>
        <w:t>[21]</w:t>
      </w:r>
      <w:r>
        <w:rPr>
          <w:rFonts w:ascii="Times New Roman" w:hAnsi="Times New Roman"/>
          <w:b w:val="0"/>
          <w:i w:val="0"/>
          <w:sz w:val="24"/>
        </w:rPr>
        <w:t xml:space="preserve"> Hyman and colleagues, examining the 2003 Texas reforms, found no measurable increase in physician supply for high-malpractice-risk specialties, primary care, or rural physicians.</w:t>
      </w:r>
      <w:r>
        <w:rPr>
          <w:rFonts w:ascii="Times New Roman" w:hAnsi="Times New Roman"/>
          <w:vertAlign w:val="superscript"/>
        </w:rPr>
        <w:t>[22]</w:t>
      </w:r>
      <w:r>
        <w:rPr>
          <w:rFonts w:ascii="Times New Roman" w:hAnsi="Times New Roman"/>
          <w:b w:val="0"/>
          <w:i w:val="0"/>
          <w:sz w:val="24"/>
        </w:rPr>
        <w:t xml:space="preserve"> Frakes and colleagues showed that negligence-standard reforms could shift the composition of the physician workforce toward surgery in some regions, yet the effect was localized and modest.</w:t>
      </w:r>
      <w:r>
        <w:rPr>
          <w:rFonts w:ascii="Times New Roman" w:hAnsi="Times New Roman"/>
          <w:vertAlign w:val="superscript"/>
        </w:rPr>
        <w:t>[23]</w:t>
      </w:r>
      <w:r>
        <w:rPr>
          <w:rFonts w:ascii="Times New Roman" w:hAnsi="Times New Roman"/>
          <w:b w:val="0"/>
          <w:i w:val="0"/>
          <w:sz w:val="24"/>
        </w:rPr>
        <w:t xml:space="preserve"> Against this backdrop, a null effect of civil litigation risk on specialty supply is not surprising, especially in a system with comparatively low litigation volume and predictable damages.</w:t>
      </w:r>
    </w:p>
    <w:p>
      <w:pPr>
        <w:spacing w:line="480" w:lineRule="auto" w:after="120"/>
      </w:pPr>
      <w:r>
        <w:rPr>
          <w:rFonts w:ascii="Times New Roman" w:hAnsi="Times New Roman"/>
          <w:b w:val="0"/>
          <w:i w:val="0"/>
          <w:sz w:val="24"/>
        </w:rPr>
        <w:t>Even when litigation risk is unrelated to the number of physicians, it may shape clinical behaviour through defensive medicine. Kessler and McClellan showed that U.S. malpractice reforms reduced medical expenditures for elderly heart-disease patients without increasing mortality or complications, suggesting that defensive practice is one margin of adjustment to liability pressure.</w:t>
      </w:r>
      <w:r>
        <w:rPr>
          <w:rFonts w:ascii="Times New Roman" w:hAnsi="Times New Roman"/>
          <w:vertAlign w:val="superscript"/>
        </w:rPr>
        <w:t>[24]</w:t>
      </w:r>
      <w:r>
        <w:rPr>
          <w:rFonts w:ascii="Times New Roman" w:hAnsi="Times New Roman"/>
          <w:b w:val="0"/>
          <w:i w:val="0"/>
          <w:sz w:val="24"/>
        </w:rPr>
        <w:t xml:space="preserve"> Subsequent reassessments have debated the magnitude and robustness of this effect, but the conceptual point remains: physicians can respond to liability risk by changing how they practise rather than by exiting a specialty.</w:t>
      </w:r>
      <w:r>
        <w:rPr>
          <w:rFonts w:ascii="Times New Roman" w:hAnsi="Times New Roman"/>
          <w:vertAlign w:val="superscript"/>
        </w:rPr>
        <w:t>[25]</w:t>
      </w:r>
      <w:r>
        <w:rPr>
          <w:rFonts w:ascii="Times New Roman" w:hAnsi="Times New Roman"/>
          <w:b w:val="0"/>
          <w:i w:val="0"/>
          <w:sz w:val="24"/>
        </w:rPr>
        <w:t xml:space="preserve">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This pattern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w:t>
      </w:r>
      <w:r>
        <w:rPr>
          <w:rFonts w:ascii="Times New Roman" w:hAnsi="Times New Roman"/>
          <w:vertAlign w:val="superscript"/>
        </w:rPr>
        <w:t>[18-19]</w:t>
      </w:r>
      <w:r>
        <w:rPr>
          <w:rFonts w:ascii="Times New Roman" w:hAnsi="Times New Roman"/>
          <w:b w:val="0"/>
          <w:i w:val="0"/>
          <w:sz w:val="24"/>
        </w:rPr>
        <w:t xml:space="preserve"> Yet the actual decision to leave a specialty is governed by expected income, sunk training costs, switching costs and status-quo bias, all of which discourage exit even when perceived risk is high.</w:t>
      </w:r>
      <w:r>
        <w:rPr>
          <w:rFonts w:ascii="Times New Roman" w:hAnsi="Times New Roman"/>
          <w:vertAlign w:val="superscript"/>
        </w:rPr>
        <w:t>[20]</w:t>
      </w:r>
      <w:r>
        <w:rPr>
          <w:rFonts w:ascii="Times New Roman" w:hAnsi="Times New Roman"/>
          <w:b w:val="0"/>
          <w:i w:val="0"/>
          <w:sz w:val="24"/>
        </w:rPr>
        <w:t xml:space="preserve"> The discrepancy between reported anxiety and measured supply is therefore not a contradiction; it is exactly what one would expect when a vivid, low-probability risk meets strong economic and institutional incentives to remain.</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w:t>
      </w:r>
      <w:r>
        <w:rPr>
          <w:rFonts w:ascii="Times New Roman" w:hAnsi="Times New Roman"/>
          <w:vertAlign w:val="superscript"/>
        </w:rPr>
        <w:t>[26]</w:t>
      </w:r>
      <w:r>
        <w:rPr>
          <w:rFonts w:ascii="Times New Roman" w:hAnsi="Times New Roman"/>
          <w:b w:val="0"/>
          <w:i w:val="0"/>
          <w:sz w:val="24"/>
        </w:rPr>
        <w:t xml:space="preserve">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(the Japan Obstetric Compensation System for Cerebral Palsy, 2009) illustrates a different mechanism. It was introduced partly because of a shortage of young obstetricians and regional gaps in maternity care, and it combined no-fault compensation with investigation and prevention.</w:t>
      </w:r>
      <w:r>
        <w:rPr>
          <w:rFonts w:ascii="Times New Roman" w:hAnsi="Times New Roman"/>
          <w:vertAlign w:val="superscript"/>
        </w:rPr>
        <w:t>[27]</w:t>
      </w:r>
      <w:r>
        <w:rPr>
          <w:rFonts w:ascii="Times New Roman" w:hAnsi="Times New Roman"/>
          <w:b w:val="0"/>
          <w:i w:val="0"/>
          <w:sz w:val="24"/>
        </w:rPr>
        <w:t xml:space="preserve"> The hospital-level JOCS-CP indicator was directionally positive (coefficient +0.024, raw p=0.013), but it did not remain significant after the small-cluster correction and Holm adjustment for the exploratory sensitivity family (Holm p=0.119).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w:t>
      </w:r>
      <w:r>
        <w:rPr>
          <w:rFonts w:ascii="Times New Roman" w:hAnsi="Times New Roman"/>
          <w:vertAlign w:val="superscript"/>
        </w:rPr>
        <w:t>[28]</w:t>
      </w:r>
      <w:r>
        <w:rPr>
          <w:rFonts w:ascii="Times New Roman" w:hAnsi="Times New Roman"/>
          <w:b w:val="0"/>
          <w:i w:val="0"/>
          <w:sz w:val="24"/>
        </w:rPr>
        <w:t xml:space="preserve">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(OB/GYN) found that the proportion of malpractice claims in this specialty fell from 15.1 percent in 2004 to 5.2 percent in 2022, and that claims per 100 OB/GYN physicians fell from 0.9 in 2007 to 0.4 in 2016, while maternal and neonatal mortality also declined.</w:t>
      </w:r>
      <w:r>
        <w:rPr>
          <w:rFonts w:ascii="Times New Roman" w:hAnsi="Times New Roman"/>
          <w:vertAlign w:val="superscript"/>
        </w:rPr>
        <w:t>[29]</w:t>
      </w:r>
      <w:r>
        <w:rPr>
          <w:rFonts w:ascii="Times New Roman" w:hAnsi="Times New Roman"/>
          <w:b w:val="0"/>
          <w:i w:val="0"/>
          <w:sz w:val="24"/>
        </w:rPr>
        <w:t xml:space="preserve">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w:t>
      </w:r>
      <w:r>
        <w:rPr>
          <w:rFonts w:ascii="Times New Roman" w:hAnsi="Times New Roman"/>
          <w:vertAlign w:val="superscript"/>
        </w:rPr>
        <w:t>[30]</w:t>
      </w:r>
      <w:r>
        <w:rPr>
          <w:rFonts w:ascii="Times New Roman" w:hAnsi="Times New Roman"/>
          <w:b w:val="0"/>
          <w:i w:val="0"/>
          <w:sz w:val="24"/>
        </w:rPr>
        <w:t xml:space="preserve">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What do these findings imply for policy? Reducing civil malpractice litigation is unlikely to be a powerful lever for correcting specialty maldistribution in this national setting. The 10-year counterfactual simulation showed that eliminating all litigation would add only 1.1% to the projected national physician stock under the point estimate, and even 5.2% under the most favourable 95% lower-bound coefficient, before accounting for the implausibility of zero claims. Structural incentives are more promising: no-fault compensation can de-risk high-acuity specialties, and payment design can reward service in underserved settings and activities. The JOCS-CP experience supports the former; the country's fee-for-service schedule and rural/urban payment adjustments illustrate the latter. Malpractice reform may still matter for defensive medicine, patient compensation, and provider-patient trust. But our evidence does not support the claim, at least from these data, that lowering litigation risk will retain physicians in high-risk specialties. Policymakers should therefore target structural incentives before relying on litigation-avoidance messaging.</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w:t>
      </w:r>
      <w:r>
        <w:rPr>
          <w:rFonts w:ascii="Times New Roman" w:hAnsi="Times New Roman"/>
          <w:vertAlign w:val="superscript"/>
        </w:rPr>
        <w:t>[31]</w:t>
      </w:r>
      <w:r>
        <w:rPr>
          <w:rFonts w:ascii="Times New Roman" w:hAnsi="Times New Roman"/>
          <w:b w:val="0"/>
          <w:i w:val="0"/>
          <w:sz w:val="24"/>
        </w:rPr>
        <w:t xml:space="preserve"> Sweden and Denmark operate similar administrative systems in which neutral experts evaluate claims without requiring proof of provider fault, improving injured patients' access to redress while controlling liability costs and generating patient-safety learning.</w:t>
      </w:r>
      <w:r>
        <w:rPr>
          <w:rFonts w:ascii="Times New Roman" w:hAnsi="Times New Roman"/>
          <w:vertAlign w:val="superscript"/>
        </w:rPr>
        <w:t>[32]</w:t>
      </w:r>
      <w:r>
        <w:rPr>
          <w:rFonts w:ascii="Times New Roman" w:hAnsi="Times New Roman"/>
          <w:b w:val="0"/>
          <w:i w:val="0"/>
          <w:sz w:val="24"/>
        </w:rPr>
        <w:t xml:space="preserve">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Several questions remain for future research. We cannot observe individual physicians' risk perceptions, career intentions, or responses to media coverage of high-profile cases. The closed-claim rate is an objective exposure measure, but it may not capture the perceived risk that drives specialty choice, especially when criminal prosecutions or sensational media coverage shape beliefs. Helland and Seabury's review concludes that tort reform effects on physician supply are heterogeneous across states and specialties, and that more granular, state-specific designs are needed to settle the question in the U.S. context.</w:t>
      </w:r>
      <w:r>
        <w:rPr>
          <w:rFonts w:ascii="Times New Roman" w:hAnsi="Times New Roman"/>
          <w:vertAlign w:val="superscript"/>
        </w:rPr>
        <w:t>[33]</w:t>
      </w:r>
      <w:r>
        <w:rPr>
          <w:rFonts w:ascii="Times New Roman" w:hAnsi="Times New Roman"/>
          <w:b w:val="0"/>
          <w:i w:val="0"/>
          <w:sz w:val="24"/>
        </w:rPr>
        <w:t xml:space="preserve"> Applying similar logic in the same national setting would require individual-level or prefecture-level career data linked to local litigation, media, and reimbursement environments. Until then, the present specialty-level rate analysis provides the most systematic evidence available on the central policy question: whether malpractice litigation risk drives physicians away from high-risk specialties. The answer, in these data, is no—or at least not in a way that is detectable or policy-relevant across 9 measured waves (2008–2024).</w:t>
      </w:r>
    </w:p>
    <w:p>
      <w:pPr>
        <w:spacing w:line="480" w:lineRule="auto" w:after="120"/>
      </w:pPr>
      <w:r>
        <w:rPr>
          <w:rFonts w:ascii="Times New Roman" w:hAnsi="Times New Roman"/>
          <w:b w:val="0"/>
          <w:i w:val="0"/>
          <w:sz w:val="24"/>
        </w:rPr>
        <w:t>The framework we used is intentionally general and falls within healthcare operations research and decision analytics. Specialty physician workforce allocation is a recurring healthcare decision problem, and the same sensitivity-analysis steps—rate adjustment to remove size confounding, measured-only panels to avoid interpolation, equivalence testing with policy-relevant margins, and small-cluster inference—can be applied to other proposed levers, such as fee schedules, regional quotas, or training subsidies. The analytic contribution is therefore not the malpractice finding itself but a transparent, reproducible decision-support workflow that helps planners distinguish meaningful workforce effects from spurious count- or interpolation-based associations.</w:t>
      </w:r>
    </w:p>
    <w:p>
      <w:pPr>
        <w:pStyle w:val="Heading2"/>
      </w:pPr>
      <w:r>
        <w:rPr>
          <w:rFonts w:ascii="Times New Roman" w:hAnsi="Times New Roman"/>
          <w:color w:val="000000"/>
        </w:rPr>
        <w:t>4.1. Limitations</w:t>
      </w:r>
    </w:p>
    <w:p>
      <w:pPr>
        <w:spacing w:line="480" w:lineRule="auto" w:after="120"/>
      </w:pPr>
      <w:r>
        <w:rPr>
          <w:rFonts w:ascii="Times New Roman" w:hAnsi="Times New Roman"/>
          <w:b w:val="0"/>
          <w:i w:val="0"/>
          <w:sz w:val="24"/>
        </w:rPr>
        <w:t>This is an ecological, specialty-level analysis and cannot establish individual-level causality.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w:t>
      </w:r>
      <w:r>
        <w:rPr>
          <w:rFonts w:ascii="Times New Roman" w:hAnsi="Times New Roman"/>
          <w:vertAlign w:val="superscript"/>
        </w:rPr>
        <w:t>[9]</w:t>
      </w:r>
      <w:r>
        <w:rPr>
          <w:rFonts w:ascii="Times New Roman" w:hAnsi="Times New Roman"/>
          <w:b w:val="0"/>
          <w:i w:val="0"/>
          <w:sz w:val="24"/>
        </w:rPr>
        <w:t xml:space="preserve"> Finally, these findings are embedded in the country's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5. 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decision-analytics standpoint, malpractice litigation is not a reliable policy lever for correcting specialty maldistribution in this setting. Policymakers may more productively target structural incentives, especially no-fault compensation, rather than rely on the assumption that reducing litigation will retain physicians in high-risk specialties. The transparent, reproducible sensitivity-analysis framework used here is exportable to other healthcare workforce-policy levers.</w:t>
      </w:r>
    </w:p>
    <w:p>
      <w:pPr>
        <w:pStyle w:val="Heading1"/>
      </w:pPr>
      <w:r>
        <w:rPr>
          <w:rFonts w:ascii="Times New Roman" w:hAnsi="Times New Roman"/>
          <w:color w:val="000000"/>
        </w:rPr>
        <w:t>Declaration of generative AI use</w:t>
      </w:r>
    </w:p>
    <w:p>
      <w:pPr>
        <w:spacing w:line="480" w:lineRule="auto" w:after="120"/>
      </w:pPr>
      <w:r>
        <w:rPr>
          <w:rFonts w:ascii="Times New Roman" w:hAnsi="Times New Roman"/>
          <w:b w:val="0"/>
          <w:i w:val="0"/>
          <w:sz w:val="24"/>
        </w:rPr>
        <w:t>[Authors: insert the Elsevier AI declaration here before submission. Example wording: During the preparation of this work the author(s) used [TOOL NAME] in order to [PURPOSE]. After using this tool/service, the author(s) reviewed and edited the content as needed and take(s) full responsibility for the content of the publication. If no generative AI was used, state so.]</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Ethics approval: this study used publicly available aggregated national statistics and did not involve human subjects, identifiable data or patient records; no ethics approval was required. Data and code availability: all primary data files, extraction scripts and analysis code are openly available in the project repository (https://github.com/bougtoir/medical-accident-its-analysis),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Japan Council for Quality Health Care;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 2024. Available from: https://www.mhlw.go.jp/english/database/db-hw/ (accessed 11 August 2026).</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 2024. Available from: https://www.courts.go.jp/ (accessed 11 August 2026).</w:t>
      </w:r>
    </w:p>
    <w:p>
      <w:pPr>
        <w:spacing w:line="360" w:lineRule="auto"/>
      </w:pPr>
      <w:r>
        <w:rPr>
          <w:rFonts w:ascii="Times New Roman" w:hAnsi="Times New Roman"/>
          <w:sz w:val="20"/>
        </w:rPr>
        <w:t>10. Ministry of Health, Labour and Welfare. Survey of Medical Institutions (Dynamic). Tokyo: MHLW; 2024. Available from: https://www.mhlw.go.jp/english/database/db-hw/ (accessed 11 August 2026).</w:t>
      </w:r>
    </w:p>
    <w:p>
      <w:pPr>
        <w:spacing w:line="360" w:lineRule="auto"/>
      </w:pPr>
      <w:r>
        <w:rPr>
          <w:rFonts w:ascii="Times New Roman" w:hAnsi="Times New Roman"/>
          <w:sz w:val="20"/>
        </w:rPr>
        <w:t>11. Japan Medical Safety Research Organisation. Annual reports of medical accident investigations (2015-2024). Tokyo: JMSR; 2025.</w:t>
      </w:r>
    </w:p>
    <w:p>
      <w:pPr>
        <w:spacing w:line="360" w:lineRule="auto"/>
      </w:pPr>
      <w:r>
        <w:rPr>
          <w:rFonts w:ascii="Times New Roman" w:hAnsi="Times New Roman"/>
          <w:sz w:val="20"/>
        </w:rPr>
        <w:t>12. Nikkei Inc. Nikkei Telecom 21. Tokyo: Nikkei Inc. Accessed 2024. Available from: https://telecom21.nikkei.co.jp/.</w:t>
      </w:r>
    </w:p>
    <w:p>
      <w:pPr>
        <w:spacing w:line="360" w:lineRule="auto"/>
      </w:pPr>
      <w:r>
        <w:rPr>
          <w:rFonts w:ascii="Times New Roman" w:hAnsi="Times New Roman"/>
          <w:sz w:val="20"/>
        </w:rPr>
        <w:t>13. Ministry of Health, Labour and Welfare. 新専門医制度における専攻医の採用状況等について（平成30年度新専門医制度スタートに向けて）. Tokyo: MHLW; 2018. Available from: https://www.mhlw.go.jp/content/10803000/000452411.pdf (accessed 15 August 2026).</w:t>
      </w:r>
    </w:p>
    <w:p>
      <w:pPr>
        <w:spacing w:line="360" w:lineRule="auto"/>
      </w:pPr>
      <w:r>
        <w:rPr>
          <w:rFonts w:ascii="Times New Roman" w:hAnsi="Times New Roman"/>
          <w:sz w:val="20"/>
        </w:rPr>
        <w:t>14. Ministry of Health, Labour and Welfare. 医籍登録後３～５年目の医師数（主たる診療科別）. Tokyo: MHLW; 2015. Available from: https://www.mhlw.go.jp/file/06-Seisakujouhou-10800000-Iseikyoku/323.pdf (accessed 15 August 2026).</w:t>
      </w:r>
    </w:p>
    <w:p>
      <w:pPr>
        <w:spacing w:line="360" w:lineRule="auto"/>
      </w:pPr>
      <w:r>
        <w:rPr>
          <w:rFonts w:ascii="Times New Roman" w:hAnsi="Times New Roman"/>
          <w:sz w:val="20"/>
        </w:rPr>
        <w:t>15. Act on the Promotion of Medical Safety; Medical Accident Investigation System (2015). Tokyo: MHLW; 2015.</w:t>
      </w:r>
    </w:p>
    <w:p>
      <w:pPr>
        <w:spacing w:line="360" w:lineRule="auto"/>
      </w:pPr>
      <w:r>
        <w:rPr>
          <w:rFonts w:ascii="Times New Roman" w:hAnsi="Times New Roman"/>
          <w:sz w:val="20"/>
        </w:rPr>
        <w:t>16. Angrist JD, Pischke JS. Mostly Harmless Econometrics. Princeton: Princeton University Press; 2009.</w:t>
      </w:r>
    </w:p>
    <w:p>
      <w:pPr>
        <w:spacing w:line="360" w:lineRule="auto"/>
      </w:pPr>
      <w:r>
        <w:rPr>
          <w:rFonts w:ascii="Times New Roman" w:hAnsi="Times New Roman"/>
          <w:sz w:val="20"/>
        </w:rPr>
        <w:t>17. Cameron AC, Miller DL. A practitioner's guide to cluster-robust inference. J Hum Resour. 2015;50(2):317-372.</w:t>
      </w:r>
    </w:p>
    <w:p>
      <w:pPr>
        <w:spacing w:line="360" w:lineRule="auto"/>
      </w:pPr>
      <w:r>
        <w:rPr>
          <w:rFonts w:ascii="Times New Roman" w:hAnsi="Times New Roman"/>
          <w:sz w:val="20"/>
        </w:rPr>
        <w:t>18. Tversky A, Kahneman D. Availability: a heuristic for judging frequency and probability. Cogn Psychol. 1973;5(2):207-232.</w:t>
      </w:r>
    </w:p>
    <w:p>
      <w:pPr>
        <w:spacing w:line="360" w:lineRule="auto"/>
      </w:pPr>
      <w:r>
        <w:rPr>
          <w:rFonts w:ascii="Times New Roman" w:hAnsi="Times New Roman"/>
          <w:sz w:val="20"/>
        </w:rPr>
        <w:t>19. Kahneman D, Tversky A. Prospect theory: an analysis of decision under risk. Econometrica. 1979;47(2):263-291.</w:t>
      </w:r>
    </w:p>
    <w:p>
      <w:pPr>
        <w:spacing w:line="360" w:lineRule="auto"/>
      </w:pPr>
      <w:r>
        <w:rPr>
          <w:rFonts w:ascii="Times New Roman" w:hAnsi="Times New Roman"/>
          <w:sz w:val="20"/>
        </w:rPr>
        <w:t>20. Samuelson W, Zeckhauser R. Status quo bias in decision making. J Risk Uncertain. 1988;1(1):7-59.</w:t>
      </w:r>
    </w:p>
    <w:p>
      <w:pPr>
        <w:spacing w:line="360" w:lineRule="auto"/>
      </w:pPr>
      <w:r>
        <w:rPr>
          <w:rFonts w:ascii="Times New Roman" w:hAnsi="Times New Roman"/>
          <w:sz w:val="20"/>
        </w:rPr>
        <w:t>21. Matsa DA. Does malpractice liability keep the doctor away? Evidence from tort reform damage caps. J Legal Stud. 2007;36(S2):S143-S182.</w:t>
      </w:r>
    </w:p>
    <w:p>
      <w:pPr>
        <w:spacing w:line="360" w:lineRule="auto"/>
      </w:pPr>
      <w:r>
        <w:rPr>
          <w:rFonts w:ascii="Times New Roman" w:hAnsi="Times New Roman"/>
          <w:sz w:val="20"/>
        </w:rPr>
        <w:t>22. Hyman DA, Silver C, Black B, Paik M. Does tort reform affect physician supply? Evidence from Texas. Int Rev Law Econ. 2015;42:203-218.</w:t>
      </w:r>
    </w:p>
    <w:p>
      <w:pPr>
        <w:spacing w:line="360" w:lineRule="auto"/>
      </w:pPr>
      <w:r>
        <w:rPr>
          <w:rFonts w:ascii="Times New Roman" w:hAnsi="Times New Roman"/>
          <w:sz w:val="20"/>
        </w:rPr>
        <w:t>23. Frakes MD, Frank MB, Seabury SA. The effect of malpractice law on physician supply: Evidence from negligence-standard reforms. J Health Econ. 2020;70:1-16.</w:t>
      </w:r>
    </w:p>
    <w:p>
      <w:pPr>
        <w:spacing w:line="360" w:lineRule="auto"/>
      </w:pPr>
      <w:r>
        <w:rPr>
          <w:rFonts w:ascii="Times New Roman" w:hAnsi="Times New Roman"/>
          <w:sz w:val="20"/>
        </w:rPr>
        <w:t>24. Kessler DP, McClellan MB. Do doctors practice defensive medicine?. Q J Econ. 1996;111(2):353-390.</w:t>
      </w:r>
    </w:p>
    <w:p>
      <w:pPr>
        <w:spacing w:line="360" w:lineRule="auto"/>
      </w:pPr>
      <w:r>
        <w:rPr>
          <w:rFonts w:ascii="Times New Roman" w:hAnsi="Times New Roman"/>
          <w:sz w:val="20"/>
        </w:rPr>
        <w:t>25. Sloan FA, Shadle JH. Is there empirical evidence for "Defensive Medicine"? A reassessment. J Health Econ. 2008;27(2):481-491.</w:t>
      </w:r>
    </w:p>
    <w:p>
      <w:pPr>
        <w:spacing w:line="360" w:lineRule="auto"/>
      </w:pPr>
      <w:r>
        <w:rPr>
          <w:rFonts w:ascii="Times New Roman" w:hAnsi="Times New Roman"/>
          <w:sz w:val="20"/>
        </w:rPr>
        <w:t>26. Taniguchi K, Watari T, Nagoshi K. Characteristics and trends of medical malpractice claims in Japan between 2006 and 2021. PLoS One. 2023;18(12):e0296155.</w:t>
      </w:r>
    </w:p>
    <w:p>
      <w:pPr>
        <w:spacing w:line="360" w:lineRule="auto"/>
      </w:pPr>
      <w:r>
        <w:rPr>
          <w:rFonts w:ascii="Times New Roman" w:hAnsi="Times New Roman"/>
          <w:sz w:val="20"/>
        </w:rPr>
        <w:t>27. Hasegawa J, Toyokawa S, Ikenoue T, et al. Relevant obstetric factors for cerebral palsy: from the Nationwide Obstetric Compensation System in Japan. PLoS One. 2016;11(1):e0148122.</w:t>
      </w:r>
    </w:p>
    <w:p>
      <w:pPr>
        <w:spacing w:line="360" w:lineRule="auto"/>
      </w:pPr>
      <w:r>
        <w:rPr>
          <w:rFonts w:ascii="Times New Roman" w:hAnsi="Times New Roman"/>
          <w:sz w:val="20"/>
        </w:rPr>
        <w:t>28. Morita H. Criminal prosecution and physician supply. Int Rev Law Econ. 2018;55:1-11.</w:t>
      </w:r>
    </w:p>
    <w:p>
      <w:pPr>
        <w:spacing w:line="360" w:lineRule="auto"/>
      </w:pPr>
      <w:r>
        <w:rPr>
          <w:rFonts w:ascii="Times New Roman" w:hAnsi="Times New Roman"/>
          <w:sz w:val="20"/>
        </w:rPr>
        <w:t>29. Kamijo K, Wada Y, Ishida K, Warsof SL, Saade G, Kawakita T. Medical-legal claims in obstetrics and gynecology: Japan versus the United States. J Healthc Risk Manag. 2025;44(4):5-11. doi:10.1002/jhrm.70001.</w:t>
      </w:r>
    </w:p>
    <w:p>
      <w:pPr>
        <w:spacing w:line="360" w:lineRule="auto"/>
      </w:pPr>
      <w:r>
        <w:rPr>
          <w:rFonts w:ascii="Times New Roman" w:hAnsi="Times New Roman"/>
          <w:sz w:val="20"/>
        </w:rPr>
        <w:t>30. Lin PL, Huang JP, Fujii T, Cho EH, Huang MC. A survey of specialty choice among obstetrics and gynecology residents in Japan, Korea, and Taiwan. J Obstet Gynaecol Res. 2022;48(7):1968-1977.</w:t>
      </w:r>
    </w:p>
    <w:p>
      <w:pPr>
        <w:spacing w:line="360" w:lineRule="auto"/>
      </w:pPr>
      <w:r>
        <w:rPr>
          <w:rFonts w:ascii="Times New Roman" w:hAnsi="Times New Roman"/>
          <w:sz w:val="20"/>
        </w:rPr>
        <w:t>31. Bismark M, Paterson R. No-fault compensation in New Zealand: harmonizing injury compensation, provider accountability, and patient safety. Health Aff. 2006;25(1):278-286.</w:t>
      </w:r>
    </w:p>
    <w:p>
      <w:pPr>
        <w:spacing w:line="360" w:lineRule="auto"/>
      </w:pPr>
      <w:r>
        <w:rPr>
          <w:rFonts w:ascii="Times New Roman" w:hAnsi="Times New Roman"/>
          <w:sz w:val="20"/>
        </w:rPr>
        <w:t>32. Mello MM, Kachalia A, Studdert DM. Administrative compensation for medical injuries: lessons from three foreign systems. New York: The Commonwealth Fund; 2011.</w:t>
      </w:r>
    </w:p>
    <w:p>
      <w:pPr>
        <w:spacing w:line="360" w:lineRule="auto"/>
      </w:pPr>
      <w:r>
        <w:rPr>
          <w:rFonts w:ascii="Times New Roman" w:hAnsi="Times New Roman"/>
          <w:sz w:val="20"/>
        </w:rPr>
        <w:t>33. Helland E, Seabury SA. Tort reform and physician labor supply: a review of the evidence. Int Rev Law Econ. 2015;42:192-202.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