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physician specialty supply: a Japanese test of behavioural risk perception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</w:t>
      </w:r>
    </w:p>
    <w:p>
      <w:pPr>
        <w:jc w:val="center"/>
      </w:pPr>
      <w:r>
        <w:rPr>
          <w:rFonts w:ascii="Times New Roman" w:hAnsi="Times New Roman"/>
          <w:sz w:val="24"/>
        </w:rPr>
        <w:t>ORCID: [corresponding author ORCID]    Email: [corresponding author email]</w:t>
      </w:r>
    </w:p>
    <w:p>
      <w:pPr>
        <w:jc w:val="center"/>
      </w:pPr>
      <w:r>
        <w:rPr>
          <w:rFonts w:ascii="Times New Roman" w:hAnsi="Times New Roman"/>
          <w:sz w:val="24"/>
        </w:rPr>
        <w:t>Word count: approximately 6811 words in total, including abstract and references; main text excluding abstract and references is approximately 5463 words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Behavioural Public Policy (Cambridge Core)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4  Supplementary tables: 8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