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The Editor-in-Chief</w:t>
      </w:r>
    </w:p>
    <w:p>
      <w:r>
        <w:t>[Target Journal]</w:t>
      </w:r>
    </w:p>
    <w:p/>
    <w:p>
      <w:r>
        <w:t>Dear Editor,</w:t>
      </w:r>
    </w:p>
    <w:p>
      <w:pPr>
        <w:spacing w:after="160"/>
      </w:pPr>
      <w:r>
        <w:rPr>
          <w:sz w:val="22"/>
        </w:rPr>
        <w:t>We submit an original research article, "Litigation risk and specialty-level physician workforce in Japan, 2008–2024: a rate-based re-analysis with equivalence testing", for consideration.</w:t>
      </w:r>
    </w:p>
    <w:p>
      <w:pPr>
        <w:spacing w:after="160"/>
      </w:pPr>
      <w:r>
        <w:rPr>
          <w:sz w:val="22"/>
        </w:rPr>
        <w:t>Using national primary data for 12 specialties—biennial physician statistics, Supreme Court specialty-specific closed malpractice claims, and the annual medical-institution survey—we test whether litigation risk is associated with decline in the physician workforce and in hospitals offering each specialty. Crucially, we express exposure as a rate (claims per 1,000 physicians) to remove specialty-size confounding, analyse only measured biennial physician observations rather than interpolated annual values, and apply equivalence (TOST) testing.</w:t>
      </w:r>
    </w:p>
    <w:p>
      <w:pPr>
        <w:spacing w:after="160"/>
      </w:pPr>
      <w:r>
        <w:rPr>
          <w:sz w:val="22"/>
        </w:rPr>
        <w:t>We find no association between litigation risk and workforce or hospital change; the effect is statistically equivalent to a null within a small, pre-specified margin. The common intuition that physicians avoid high-litigation specialties is not supported. We show that previously reported associations arise from size confounding and from treating interpolated years as independent observations, and we discuss how structural incentives—no-fault obstetric compensation (JOCS-CP) and procedure-based reimbursement—may sustain the specialty workforce.</w:t>
      </w:r>
    </w:p>
    <w:p>
      <w:pPr>
        <w:spacing w:after="160"/>
      </w:pPr>
      <w:r>
        <w:rPr>
          <w:sz w:val="22"/>
        </w:rPr>
        <w:t>This manuscript is a substantially rebuilt analysis prepared after external peer review of an earlier version identified count-based modelling and interpolation as structural problems; we have addressed these by moving to rates, measured-only data, equivalence testing, explicit treatment of JOCS-CP, and correction of the Medical Accident Investigation System description. All data and code are openly available and every reported number is reproducible from raw files.</w:t>
      </w:r>
    </w:p>
    <w:p>
      <w:pPr>
        <w:spacing w:after="160"/>
      </w:pPr>
      <w:r>
        <w:rPr>
          <w:sz w:val="22"/>
        </w:rPr>
        <w:t>The work is original, not under consideration elsewhere, and all authors approve the submission. We declare no conflicts of interest.</w:t>
      </w:r>
    </w:p>
    <w:p>
      <w:r>
        <w:t>Sincerely,</w:t>
      </w:r>
    </w:p>
    <w:p>
      <w:r>
        <w:t>[Corresponding author, on behalf of all authors]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