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STROBE Statement — checklist for observational studies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No.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Location/《addressed》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Title and abstract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Rate-based re-analysis design stated in title; structured abstract.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Specialty maldistribution and the flight-from-risk hypothesis (Introduction).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Objectives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Test association of litigation rate with workforce/hospital change; equivalence.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Ecological panel across 12 specialties, 2008–2024, biennial grid.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Japan; national administrative and judicial statistics.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Variables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Exposure: litigation rate per 1,000 physicians; outcomes: log-change in physicians/hospitals; JOCS-CP indicator.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sources/measurement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MHLW physician statistics, Supreme Court litigation, MHLW facility survey (Table 1).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Bias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Size confounding removed by rates; interpolation avoided in primary analysis.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Study size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All 12 core specialties; 9 measured biennial waves.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Litigation rate; standardised exposure for TOST.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Panel FE (specialty, wave), cluster-robust SE, TOST, sensitivity analyses.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Descriptive/main results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13-16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Trends (Figs 1–2, Table 2), null panel and equivalence (Table 3–4, Fig 3), counts vs rates (Fig 4).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Limitations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Ecological; biennial resolution; litigation ≠ incident risk; 2004–2007 unavailable.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 support for flight-from-risk; structural incentives discussed.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Japan specialty-level; not individual careers.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Funding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