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  <w:color w:val="000000"/>
        </w:rPr>
        <w:t>Supplementary material</w:t>
      </w:r>
    </w:p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1. Sensitivity-analysis framework for evaluating malpractice-litigation risk as a healthcare workforce-allocation lever.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5892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8928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2. Closed malpractice claims per 1,000 physicians by specialty, 2008–2024 (rates, not counts).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line="480" w:lineRule="auto" w:after="120"/>
      </w:pPr>
      <w:r>
        <w:rPr>
          <w:rFonts w:ascii="Times New Roman" w:hAnsi="Times New Roman"/>
          <w:b w:val="0"/>
          <w:i w:val="0"/>
          <w:sz w:val="24"/>
        </w:rPr>
        <w:t>Supplementary Figure 3. Physician workforce by specialty, indexed to 2008 (=100).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53568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_Supplementary_Figure_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3568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1. Primary data sources and their resolution.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Series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Resolution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Role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Physicians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Statistics of Physicians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Biennial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2004–2024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Denominator &amp; 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Closed malpractice claims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Supreme Court,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Exposure (numerator)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Hospitals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of Medical Institutions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Clinics by specialty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MHLW Survey (static)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Every 3 years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2008–2023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only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JMSR report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JMSR / MAIS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2015–2024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(2016-2024)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/>
                <w:sz w:val="18"/>
              </w:rPr>
              <w:t>Newspaper article counts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Nikkei Telecom 21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Annual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2008–2018</w:t>
            </w:r>
          </w:p>
        </w:tc>
        <w:tc>
          <w:tcPr>
            <w:tcW w:type="dxa" w:w="1872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Sensitivity (2009-2018)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2. Equivalence (TOST) results (effect per +1 SD litigation rate).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 per SD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90%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TOST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Equivalent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0.023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-0.21%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-0.84%, +0.42%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&lt;0.001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0.059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No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+0.07%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-0.91%, +1.06%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0.002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3. JMSR-adjusted annual hospital growth model (2016-2024) with both exposures entered simultaneously.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+0.0021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JMSR report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-0.0009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108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4. Media-adjusted annual hospital growth model (2009-2018) with a linear time trend; full year fixed effects are omitted because the national article-count series is collinear with them.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Exposure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Coefficient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n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litigation rate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-0.0003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0.72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  <w:tr>
        <w:tc>
          <w:tcPr>
            <w:tcW w:type="dxa" w:w="2340"/>
          </w:tcPr>
          <w:p>
            <w:r>
              <w:rPr>
                <w:rFonts w:ascii="Times New Roman" w:hAnsi="Times New Roman"/>
                <w:sz w:val="18"/>
              </w:rPr>
              <w:t>Lagged media count (per 1,000 articles)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-0.0014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0.21</w:t>
            </w:r>
          </w:p>
        </w:tc>
        <w:tc>
          <w:tcPr>
            <w:tcW w:type="dxa" w:w="234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120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5. Holm step-down adjusted p-values for the exploratory sensitivity tests and the JOCS-CP indicator.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Test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Raw p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Holm-adjusted p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physician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0.249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Biennial hospital growth ~ lagged litigation rate (JOCS-CP indicator)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0.013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0.119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COUNTS contrast: physician growth ~ lagged litigation COUNT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0.506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Annual hospital growth ~ lagged litigation rate (2008-2024)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0.994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SENSITIVITY interpolated-annual physician growth ~ lag rate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0.389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0.283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JMSR-adjusted annual hospital growth (2016-2024) ~ lit rate + JMSR rate (JMSR report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0.664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(litigation rate)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0.718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Media-adjusted annual hospital growth (2009-2018) ~ lit rate + media count (media count)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0.209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1.000</w:t>
            </w:r>
          </w:p>
        </w:tc>
      </w:tr>
    </w:tbl>
    <w:p/>
    <w:p>
      <w:pPr>
        <w:spacing w:before="280" w:after="120"/>
      </w:pPr>
      <w:r>
        <w:rPr>
          <w:rFonts w:ascii="Times New Roman" w:hAnsi="Times New Roman"/>
          <w:b/>
          <w:sz w:val="20"/>
        </w:rPr>
        <w:t>Supplementary Table 6. Cluster block-bootstrap p-values, percentile 95% confidence intervals, equivalence power (if true effect is zero), and minimum detectable effect per 1-SD litigation-rate increase.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Outcome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p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Bootstrap 95% CI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Equivalence margin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Power if true null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MDE (80% power)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98.4%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Physician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0.573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-0.00476, 0.00212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100.0%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1.08%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±1%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90.4%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  <w:tr>
        <w:tc>
          <w:tcPr>
            <w:tcW w:type="dxa" w:w="1560"/>
          </w:tcPr>
          <w:p>
            <w:r>
              <w:rPr>
                <w:rFonts w:ascii="Times New Roman" w:hAnsi="Times New Roman"/>
                <w:sz w:val="18"/>
              </w:rPr>
              <w:t>Hospital growth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0.903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-0.00431, 0.00416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±2%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99.6%</w:t>
            </w:r>
          </w:p>
        </w:tc>
        <w:tc>
          <w:tcPr>
            <w:tcW w:type="dxa" w:w="156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1.69%</w:t>
            </w:r>
          </w:p>
        </w:tc>
      </w:tr>
    </w:tbl>
    <w:p/>
    <w:p>
      <w:pPr>
        <w:pStyle w:val="Heading1"/>
      </w:pPr>
      <w:r>
        <w:rPr>
          <w:rFonts w:ascii="Times New Roman" w:hAnsi="Times New Roman"/>
          <w:color w:val="000000"/>
        </w:rPr>
        <w:t>STROBE checklist</w:t>
      </w:r>
    </w:p>
    <w:p>
      <w:pPr>
        <w:spacing w:before="280" w:after="120"/>
      </w:pPr>
      <w:r>
        <w:rPr>
          <w:rFonts w:ascii="Times New Roman" w:hAnsi="Times New Roman"/>
          <w:b/>
          <w:sz w:val="20"/>
        </w:rPr>
        <w:t>STROBE checklist for observational cohort studies.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Item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b/>
                <w:sz w:val="18"/>
              </w:rPr>
              <w:t>Reported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Title and abstract indicate the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Background and rationale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Specific objectives and hypotheses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Key elements of study design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sources, locations and dates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Eligibility and selection criteria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Definitions of outcomes, exposures and predictors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Data sources and measurement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Discussion of potential sources of bias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Explanation of study size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Quantitative variables: grouping and transformations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Description of all statistical methods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13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Numbers of participants at each stage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14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Descriptive characteristics of participants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15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Outcome data for each exposure category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16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Main results with measures of uncertainty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17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Other analyses (sensitivity and subgroup)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18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Summary of key results with reference to objectives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19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Limitations of bias and imprecision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20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Cautious overall interpretation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21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Generalisability to other populations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  <w:tr>
        <w:tc>
          <w:tcPr>
            <w:tcW w:type="dxa" w:w="3120"/>
          </w:tcPr>
          <w:p>
            <w:r>
              <w:rPr>
                <w:rFonts w:ascii="Times New Roman" w:hAnsi="Times New Roman"/>
                <w:sz w:val="18"/>
              </w:rPr>
              <w:t>22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Registration, protocol, funding, data and code availability</w:t>
            </w:r>
          </w:p>
        </w:tc>
        <w:tc>
          <w:tcPr>
            <w:tcW w:type="dxa" w:w="3120"/>
          </w:tcPr>
          <w:p>
            <w:pPr>
              <w:jc w:val="center"/>
            </w:pPr>
            <w:r>
              <w:rPr>
                <w:rFonts w:ascii="Times New Roman" w:hAnsi="Times New Roman"/>
                <w:sz w:val="18"/>
              </w:rPr>
              <w:t>Yes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