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Highlights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Specialty-level malpractice litigation risk is unrelated to physician or hospital decline in Japan.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Rate-based, measured-only designs remove size confounding and sparse-panel bias.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Equivalence and power diagnostics support an informative null result.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Perceived risk and real workforce allocation diverge because of structural incentives and status-quo bias.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Structural incentives, not litigation-avoidance messaging, are the more promising policy lever.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*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*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*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