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Risk perception versus structural incentives in physician specialty choice: a Japanese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decisions. Using national administrative data for 12 clinical specialties in Japan (2008-2024), we tested whether litigation risk predicts physician supply and hospital facility counts. We measured exposure as malpractice claims per 1,000 physicians and regressed biennial log-changes in physician and hospital facility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facility-count growth (p=0.90), and a one-SD higher rate shifted physician growth by less than +/-1% (TOST p=0.023). Despite high perceived risk, structural incentives -- training costs, fee-for-service income, and status-quo bias -- appear to keep physicians in high-risk fields. Reducing civil litigation exposure is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lever: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(Japan Council for Quality Health Care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+gamma*</m:t>
        </m:r>
        <m:sSub>
          <m:e>
            <m:r>
              <m:rPr>
                <m:nor/>
              </m:rPr>
              <m:t>JOCS-CP</m:t>
            </m:r>
          </m:e>
          <m:sub>
            <m:r>
              <m:t>s,t-1</m:t>
            </m:r>
          </m:sub>
        </m:sSub>
        <m:r>
          <m:t>+</m:t>
        </m:r>
        <m:sSub>
          <m:e>
            <m:r>
              <m:t>epsilon</m:t>
            </m:r>
          </m:e>
          <m:sub>
            <m:r>
              <m:t>st</m:t>
            </m:r>
          </m:sub>
        </m:sSub>
      </m:oMath>
    </w:p>
    <w:p>
      <w:pPr>
        <w:spacing w:line="480" w:lineRule="auto" w:after="120"/>
      </w:pPr>
      <w:r>
        <w:rPr>
          <w:rFonts w:ascii="Times New Roman" w:hAnsi="Times New Roman"/>
          <w:b w:val="0"/>
          <w:i w:val="0"/>
          <w:sz w:val="24"/>
        </w:rPr>
        <w:t>Here, Y is either physician counts or hospital facility counts,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levers have produced: for example, targeted residency subsidies raised primary-care physician supply by about 4% in a comparable setting. (McNamara and Pineda-Torres, 2025) That 4% is a total programme effect, whereas our +/-1% and +/-2% margins are biennial, so the margins are substantially smaller than the policy-relevant shift and therefore conservative.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1; Table 2)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Supplementary Table 2.</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facility-count growth is shown in Figure 3.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not a high-leverage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trend-robustness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facility-count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lever for correcting specialty maldistribution. The 10-year counterfactual showed that eliminating all claims would add only 1.1% to the projected national physician stock under the point estimate, and 5.2% under the most favourable 95% lower-bound coefficient. A generic lever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weak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levers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behavioural lesson is that policymakers should redesign the choice architecture -- payment, training slots and compensation rules -- rather than expect litigation-avoidance messaging to drive career decisions. Our null result is evidence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 (1),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 (2),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 (1),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 (47),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Japan Council for Quality Health Care (JOCS-CP) (2009), </w:t>
      </w:r>
      <w:r>
        <w:rPr>
          <w:rFonts w:ascii="Times New Roman" w:hAnsi="Times New Roman"/>
          <w:b w:val="0"/>
          <w:i/>
          <w:sz w:val="20"/>
        </w:rPr>
        <w:t>Japan Obstetric Compensation System for Cerebral Palsy</w:t>
      </w:r>
      <w:r>
        <w:rPr>
          <w:rFonts w:ascii="Times New Roman" w:hAnsi="Times New Roman"/>
          <w:b w:val="0"/>
          <w:i w:val="0"/>
          <w:sz w:val="20"/>
        </w:rPr>
        <w:t>, Japan Council for Quality Health Care, Tokyo.</w:t>
      </w:r>
    </w:p>
    <w:p>
      <w:pPr>
        <w:spacing w:line="360" w:lineRule="auto"/>
      </w:pPr>
      <w:r>
        <w:rPr>
          <w:rFonts w:ascii="Times New Roman" w:hAnsi="Times New Roman"/>
          <w:b w:val="0"/>
          <w:i w:val="0"/>
          <w:sz w:val="20"/>
        </w:rPr>
        <w:t xml:space="preserve">Japan Medical Safety Research Organisation (JMSR) (2025), </w:t>
      </w:r>
      <w:r>
        <w:rPr>
          <w:rFonts w:ascii="Times New Roman" w:hAnsi="Times New Roman"/>
          <w:b w:val="0"/>
          <w:i/>
          <w:sz w:val="20"/>
        </w:rPr>
        <w:t>Annual reports of medical accident investigations (2015-2024)</w:t>
      </w:r>
      <w:r>
        <w:rPr>
          <w:rFonts w:ascii="Times New Roman" w:hAnsi="Times New Roman"/>
          <w:b w:val="0"/>
          <w:i w:val="0"/>
          <w:sz w:val="20"/>
        </w:rPr>
        <w:t>, JMSR, Tokyo.</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 (2),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 (4),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 (2),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 (4),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 (7),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 (S2),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 (3),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Ministry of Health, Labour and Welfare, Tokyo.</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The Commonwealth Fund, New York.</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MHLW, Tokyo.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MHLW, Tokyo.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MHLW, Tokyo.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MHLW, Tokyo.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Nikkei Inc, Tokyo.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 (1),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 (6),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 (2),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 (3),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Supreme Court of Japan, Tokyo.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 (12),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 (2),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 (9596),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Table 1.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before="280" w:after="120"/>
      </w:pPr>
      <w:r>
        <w:rPr>
          <w:rFonts w:ascii="Times New Roman" w:hAnsi="Times New Roman"/>
          <w:b/>
          <w:sz w:val="20"/>
        </w:rPr>
        <w:t>Figure 3. Biennial hospital facility-count growth against lagged litigation exposure measured as (a) counts and (b) rates. Points are coloured by specialty; the rate-adjusted panel shows no systematic association.</w:t>
      </w:r>
    </w:p>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