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4"/>
        </w:rPr>
        <w:t>Table 1.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tcPr>
          <w:p>
            <w:r/>
            <w:r>
              <w:rPr>
                <w:rFonts w:ascii="Times New Roman" w:hAnsi="Times New Roman"/>
                <w:b/>
                <w:sz w:val="22"/>
              </w:rPr>
              <w:t>Code</w:t>
            </w:r>
          </w:p>
        </w:tc>
        <w:tc>
          <w:tcPr>
            <w:tcW w:type="dxa" w:w="2081"/>
          </w:tcPr>
          <w:p>
            <w:r/>
            <w:r>
              <w:rPr>
                <w:rFonts w:ascii="Times New Roman" w:hAnsi="Times New Roman"/>
                <w:b/>
                <w:sz w:val="22"/>
              </w:rPr>
              <w:t>n</w:t>
            </w:r>
          </w:p>
        </w:tc>
        <w:tc>
          <w:tcPr>
            <w:tcW w:type="dxa" w:w="2081"/>
          </w:tcPr>
          <w:p>
            <w:r/>
            <w:r>
              <w:rPr>
                <w:rFonts w:ascii="Times New Roman" w:hAnsi="Times New Roman"/>
                <w:b/>
                <w:sz w:val="22"/>
              </w:rPr>
              <w:t>Mean (SD)</w:t>
            </w:r>
          </w:p>
        </w:tc>
        <w:tc>
          <w:tcPr>
            <w:tcW w:type="dxa" w:w="2081"/>
          </w:tcPr>
          <w:p>
            <w:r/>
            <w:r>
              <w:rPr>
                <w:rFonts w:ascii="Times New Roman" w:hAnsi="Times New Roman"/>
                <w:b/>
                <w:sz w:val="22"/>
              </w:rPr>
              <w:t>Median (IQR)</w:t>
            </w:r>
          </w:p>
        </w:tc>
        <w:tc>
          <w:tcPr>
            <w:tcW w:type="dxa" w:w="2081"/>
          </w:tcPr>
          <w:p>
            <w:r/>
            <w:r>
              <w:rPr>
                <w:rFonts w:ascii="Times New Roman" w:hAnsi="Times New Roman"/>
                <w:b/>
                <w:sz w:val="22"/>
              </w:rPr>
              <w:t>Min</w:t>
            </w:r>
          </w:p>
        </w:tc>
        <w:tc>
          <w:tcPr>
            <w:tcW w:type="dxa" w:w="2081"/>
          </w:tcPr>
          <w:p>
            <w:r/>
            <w:r>
              <w:rPr>
                <w:rFonts w:ascii="Times New Roman" w:hAnsi="Times New Roman"/>
                <w:b/>
                <w:sz w:val="22"/>
              </w:rPr>
              <w:t>Max</w:t>
            </w:r>
          </w:p>
        </w:tc>
        <w:tc>
          <w:tcPr>
            <w:tcW w:type="dxa" w:w="2081"/>
          </w:tcPr>
          <w:p>
            <w:r/>
            <w:r>
              <w:rPr>
                <w:rFonts w:ascii="Times New Roman" w:hAnsi="Times New Roman"/>
                <w:b/>
                <w:sz w:val="22"/>
              </w:rPr>
              <w:t>CV (%)</w:t>
            </w:r>
          </w:p>
        </w:tc>
      </w:tr>
      <w:tr>
        <w:tc>
          <w:tcPr>
            <w:tcW w:type="dxa" w:w="2081"/>
          </w:tcPr>
          <w:p>
            <w:r/>
            <w:r>
              <w:rPr>
                <w:rFonts w:ascii="Times New Roman" w:hAnsi="Times New Roman"/>
                <w:sz w:val="22"/>
              </w:rPr>
              <w:t>L008</w:t>
            </w:r>
          </w:p>
        </w:tc>
        <w:tc>
          <w:tcPr>
            <w:tcW w:type="dxa" w:w="2081"/>
          </w:tcPr>
          <w:p>
            <w:r/>
            <w:r>
              <w:rPr>
                <w:rFonts w:ascii="Times New Roman" w:hAnsi="Times New Roman"/>
                <w:sz w:val="22"/>
              </w:rPr>
              <w:t>334</w:t>
            </w:r>
          </w:p>
        </w:tc>
        <w:tc>
          <w:tcPr>
            <w:tcW w:type="dxa" w:w="2081"/>
          </w:tcPr>
          <w:p>
            <w:r/>
            <w:r>
              <w:rPr>
                <w:rFonts w:ascii="Times New Roman" w:hAnsi="Times New Roman"/>
                <w:sz w:val="22"/>
              </w:rPr>
              <w:t>79.7 (42.8)</w:t>
            </w:r>
          </w:p>
        </w:tc>
        <w:tc>
          <w:tcPr>
            <w:tcW w:type="dxa" w:w="2081"/>
          </w:tcPr>
          <w:p>
            <w:r/>
            <w:r>
              <w:rPr>
                <w:rFonts w:ascii="Times New Roman" w:hAnsi="Times New Roman"/>
                <w:sz w:val="22"/>
              </w:rPr>
              <w:t>73.5 (50.0–103.0)</w:t>
            </w:r>
          </w:p>
        </w:tc>
        <w:tc>
          <w:tcPr>
            <w:tcW w:type="dxa" w:w="2081"/>
          </w:tcPr>
          <w:p>
            <w:r/>
            <w:r>
              <w:rPr>
                <w:rFonts w:ascii="Times New Roman" w:hAnsi="Times New Roman"/>
                <w:sz w:val="22"/>
              </w:rPr>
              <w:t>2.3</w:t>
            </w:r>
          </w:p>
        </w:tc>
        <w:tc>
          <w:tcPr>
            <w:tcW w:type="dxa" w:w="2081"/>
          </w:tcPr>
          <w:p>
            <w:r/>
            <w:r>
              <w:rPr>
                <w:rFonts w:ascii="Times New Roman" w:hAnsi="Times New Roman"/>
                <w:sz w:val="22"/>
              </w:rPr>
              <w:t>435.7</w:t>
            </w:r>
          </w:p>
        </w:tc>
        <w:tc>
          <w:tcPr>
            <w:tcW w:type="dxa" w:w="2081"/>
          </w:tcPr>
          <w:p>
            <w:r/>
            <w:r>
              <w:rPr>
                <w:rFonts w:ascii="Times New Roman" w:hAnsi="Times New Roman"/>
                <w:sz w:val="22"/>
              </w:rPr>
              <w:t>53.7</w:t>
            </w:r>
          </w:p>
        </w:tc>
      </w:tr>
      <w:tr>
        <w:tc>
          <w:tcPr>
            <w:tcW w:type="dxa" w:w="2081"/>
          </w:tcPr>
          <w:p>
            <w:r/>
            <w:r>
              <w:rPr>
                <w:rFonts w:ascii="Times New Roman" w:hAnsi="Times New Roman"/>
                <w:sz w:val="22"/>
              </w:rPr>
              <w:t>L004</w:t>
            </w:r>
          </w:p>
        </w:tc>
        <w:tc>
          <w:tcPr>
            <w:tcW w:type="dxa" w:w="2081"/>
          </w:tcPr>
          <w:p>
            <w:r/>
            <w:r>
              <w:rPr>
                <w:rFonts w:ascii="Times New Roman" w:hAnsi="Times New Roman"/>
                <w:sz w:val="22"/>
              </w:rPr>
              <w:t>334</w:t>
            </w:r>
          </w:p>
        </w:tc>
        <w:tc>
          <w:tcPr>
            <w:tcW w:type="dxa" w:w="2081"/>
          </w:tcPr>
          <w:p>
            <w:r/>
            <w:r>
              <w:rPr>
                <w:rFonts w:ascii="Times New Roman" w:hAnsi="Times New Roman"/>
                <w:sz w:val="22"/>
              </w:rPr>
              <w:t>93.8 (53.3)</w:t>
            </w:r>
          </w:p>
        </w:tc>
        <w:tc>
          <w:tcPr>
            <w:tcW w:type="dxa" w:w="2081"/>
          </w:tcPr>
          <w:p>
            <w:r/>
            <w:r>
              <w:rPr>
                <w:rFonts w:ascii="Times New Roman" w:hAnsi="Times New Roman"/>
                <w:sz w:val="22"/>
              </w:rPr>
              <w:t>84.6 (55.8–127.4)</w:t>
            </w:r>
          </w:p>
        </w:tc>
        <w:tc>
          <w:tcPr>
            <w:tcW w:type="dxa" w:w="2081"/>
          </w:tcPr>
          <w:p>
            <w:r/>
            <w:r>
              <w:rPr>
                <w:rFonts w:ascii="Times New Roman" w:hAnsi="Times New Roman"/>
                <w:sz w:val="22"/>
              </w:rPr>
              <w:t>1.0</w:t>
            </w:r>
          </w:p>
        </w:tc>
        <w:tc>
          <w:tcPr>
            <w:tcW w:type="dxa" w:w="2081"/>
          </w:tcPr>
          <w:p>
            <w:r/>
            <w:r>
              <w:rPr>
                <w:rFonts w:ascii="Times New Roman" w:hAnsi="Times New Roman"/>
                <w:sz w:val="22"/>
              </w:rPr>
              <w:t>346.5</w:t>
            </w:r>
          </w:p>
        </w:tc>
        <w:tc>
          <w:tcPr>
            <w:tcW w:type="dxa" w:w="2081"/>
          </w:tcPr>
          <w:p>
            <w:r/>
            <w:r>
              <w:rPr>
                <w:rFonts w:ascii="Times New Roman" w:hAnsi="Times New Roman"/>
                <w:sz w:val="22"/>
              </w:rPr>
              <w:t>56.8</w:t>
            </w:r>
          </w:p>
        </w:tc>
      </w:tr>
      <w:tr>
        <w:tc>
          <w:tcPr>
            <w:tcW w:type="dxa" w:w="2081"/>
          </w:tcPr>
          <w:p>
            <w:r/>
            <w:r>
              <w:rPr>
                <w:rFonts w:ascii="Times New Roman" w:hAnsi="Times New Roman"/>
                <w:sz w:val="22"/>
              </w:rPr>
              <w:t>L002</w:t>
            </w:r>
          </w:p>
        </w:tc>
        <w:tc>
          <w:tcPr>
            <w:tcW w:type="dxa" w:w="2081"/>
          </w:tcPr>
          <w:p>
            <w:r/>
            <w:r>
              <w:rPr>
                <w:rFonts w:ascii="Times New Roman" w:hAnsi="Times New Roman"/>
                <w:sz w:val="22"/>
              </w:rPr>
              <w:t>307</w:t>
            </w:r>
          </w:p>
        </w:tc>
        <w:tc>
          <w:tcPr>
            <w:tcW w:type="dxa" w:w="2081"/>
          </w:tcPr>
          <w:p>
            <w:r/>
            <w:r>
              <w:rPr>
                <w:rFonts w:ascii="Times New Roman" w:hAnsi="Times New Roman"/>
                <w:sz w:val="22"/>
              </w:rPr>
              <w:t>95.6 (83.4)</w:t>
            </w:r>
          </w:p>
        </w:tc>
        <w:tc>
          <w:tcPr>
            <w:tcW w:type="dxa" w:w="2081"/>
          </w:tcPr>
          <w:p>
            <w:r/>
            <w:r>
              <w:rPr>
                <w:rFonts w:ascii="Times New Roman" w:hAnsi="Times New Roman"/>
                <w:sz w:val="22"/>
              </w:rPr>
              <w:t>76.6 (31.2–133.4)</w:t>
            </w:r>
          </w:p>
        </w:tc>
        <w:tc>
          <w:tcPr>
            <w:tcW w:type="dxa" w:w="2081"/>
          </w:tcPr>
          <w:p>
            <w:r/>
            <w:r>
              <w:rPr>
                <w:rFonts w:ascii="Times New Roman" w:hAnsi="Times New Roman"/>
                <w:sz w:val="22"/>
              </w:rPr>
              <w:t>0.9</w:t>
            </w:r>
          </w:p>
        </w:tc>
        <w:tc>
          <w:tcPr>
            <w:tcW w:type="dxa" w:w="2081"/>
          </w:tcPr>
          <w:p>
            <w:r/>
            <w:r>
              <w:rPr>
                <w:rFonts w:ascii="Times New Roman" w:hAnsi="Times New Roman"/>
                <w:sz w:val="22"/>
              </w:rPr>
              <w:t>519.1</w:t>
            </w:r>
          </w:p>
        </w:tc>
        <w:tc>
          <w:tcPr>
            <w:tcW w:type="dxa" w:w="2081"/>
          </w:tcPr>
          <w:p>
            <w:r/>
            <w:r>
              <w:rPr>
                <w:rFonts w:ascii="Times New Roman" w:hAnsi="Times New Roman"/>
                <w:sz w:val="22"/>
              </w:rPr>
              <w:t>87.2</w:t>
            </w:r>
          </w:p>
        </w:tc>
      </w:tr>
      <w:tr>
        <w:tc>
          <w:tcPr>
            <w:tcW w:type="dxa" w:w="2081"/>
          </w:tcPr>
          <w:p>
            <w:r/>
            <w:r>
              <w:rPr>
                <w:rFonts w:ascii="Times New Roman" w:hAnsi="Times New Roman"/>
                <w:sz w:val="22"/>
              </w:rPr>
              <w:t>L003</w:t>
            </w:r>
          </w:p>
        </w:tc>
        <w:tc>
          <w:tcPr>
            <w:tcW w:type="dxa" w:w="2081"/>
          </w:tcPr>
          <w:p>
            <w:r/>
            <w:r>
              <w:rPr>
                <w:rFonts w:ascii="Times New Roman" w:hAnsi="Times New Roman"/>
                <w:sz w:val="22"/>
              </w:rPr>
              <w:t>331</w:t>
            </w:r>
          </w:p>
        </w:tc>
        <w:tc>
          <w:tcPr>
            <w:tcW w:type="dxa" w:w="2081"/>
          </w:tcPr>
          <w:p>
            <w:r/>
            <w:r>
              <w:rPr>
                <w:rFonts w:ascii="Times New Roman" w:hAnsi="Times New Roman"/>
                <w:sz w:val="22"/>
              </w:rPr>
              <w:t>83.5 (54.3)</w:t>
            </w:r>
          </w:p>
        </w:tc>
        <w:tc>
          <w:tcPr>
            <w:tcW w:type="dxa" w:w="2081"/>
          </w:tcPr>
          <w:p>
            <w:r/>
            <w:r>
              <w:rPr>
                <w:rFonts w:ascii="Times New Roman" w:hAnsi="Times New Roman"/>
                <w:sz w:val="22"/>
              </w:rPr>
              <w:t>73.4 (45.0–117.0)</w:t>
            </w:r>
          </w:p>
        </w:tc>
        <w:tc>
          <w:tcPr>
            <w:tcW w:type="dxa" w:w="2081"/>
          </w:tcPr>
          <w:p>
            <w:r/>
            <w:r>
              <w:rPr>
                <w:rFonts w:ascii="Times New Roman" w:hAnsi="Times New Roman"/>
                <w:sz w:val="22"/>
              </w:rPr>
              <w:t>0.4</w:t>
            </w:r>
          </w:p>
        </w:tc>
        <w:tc>
          <w:tcPr>
            <w:tcW w:type="dxa" w:w="2081"/>
          </w:tcPr>
          <w:p>
            <w:r/>
            <w:r>
              <w:rPr>
                <w:rFonts w:ascii="Times New Roman" w:hAnsi="Times New Roman"/>
                <w:sz w:val="22"/>
              </w:rPr>
              <w:t>443.0</w:t>
            </w:r>
          </w:p>
        </w:tc>
        <w:tc>
          <w:tcPr>
            <w:tcW w:type="dxa" w:w="2081"/>
          </w:tcPr>
          <w:p>
            <w:r/>
            <w:r>
              <w:rPr>
                <w:rFonts w:ascii="Times New Roman" w:hAnsi="Times New Roman"/>
                <w:sz w:val="22"/>
              </w:rPr>
              <w:t>65.0</w:t>
            </w:r>
          </w:p>
        </w:tc>
      </w:tr>
    </w:tbl>
    <w:p>
      <w:pPr>
        <w:spacing w:after="240"/>
      </w:pPr>
      <w:r>
        <w:rPr>
          <w:rFonts w:ascii="Times New Roman" w:hAnsi="Times New Roman"/>
          <w:i/>
          <w:sz w:val="20"/>
        </w:rPr>
        <w:t>SD, standard deviation; IQR, interquartile range; CV, coefficient of variation. L002 = continuous epidural anaesthesia; L003 = caudal epidural; L004 = spinal anaesthesia; L008 = general anaesthesia. L009 and L100 are described in the Methods and omitted because they were not entered into multilevel models. Areas with low claim volume are masked by the data provider and appear as missing values.</w:t>
      </w:r>
    </w:p>
    <w:p>
      <w:pPr>
        <w:spacing w:before="240" w:after="120"/>
      </w:pPr>
      <w:r>
        <w:rPr>
          <w:rFonts w:ascii="Times New Roman" w:hAnsi="Times New Roman"/>
          <w:b/>
          <w:sz w:val="24"/>
        </w:rPr>
        <w:t>Table 2.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2914"/>
        <w:gridCol w:w="2914"/>
        <w:gridCol w:w="2914"/>
        <w:gridCol w:w="2914"/>
        <w:gridCol w:w="2914"/>
      </w:tblGrid>
      <w:tr>
        <w:tc>
          <w:tcPr>
            <w:tcW w:type="dxa" w:w="2914"/>
          </w:tcPr>
          <w:p>
            <w:r/>
            <w:r>
              <w:rPr>
                <w:rFonts w:ascii="Times New Roman" w:hAnsi="Times New Roman"/>
                <w:b/>
                <w:sz w:val="22"/>
              </w:rPr>
              <w:t>Code</w:t>
            </w:r>
          </w:p>
        </w:tc>
        <w:tc>
          <w:tcPr>
            <w:tcW w:type="dxa" w:w="2914"/>
          </w:tcPr>
          <w:p>
            <w:r/>
            <w:r>
              <w:rPr>
                <w:rFonts w:ascii="Times New Roman" w:hAnsi="Times New Roman"/>
                <w:b/>
                <w:sz w:val="22"/>
              </w:rPr>
              <w:t>Null model ICC</w:t>
            </w:r>
          </w:p>
        </w:tc>
        <w:tc>
          <w:tcPr>
            <w:tcW w:type="dxa" w:w="2914"/>
          </w:tcPr>
          <w:p>
            <w:r/>
            <w:r>
              <w:rPr>
                <w:rFonts w:ascii="Times New Roman" w:hAnsi="Times New Roman"/>
                <w:b/>
                <w:sz w:val="22"/>
              </w:rPr>
              <w:t>β university (95% CI)</w:t>
            </w:r>
          </w:p>
        </w:tc>
        <w:tc>
          <w:tcPr>
            <w:tcW w:type="dxa" w:w="2914"/>
          </w:tcPr>
          <w:p>
            <w:r/>
            <w:r>
              <w:rPr>
                <w:rFonts w:ascii="Times New Roman" w:hAnsi="Times New Roman"/>
                <w:b/>
                <w:sz w:val="22"/>
              </w:rPr>
              <w:t>P value</w:t>
            </w:r>
          </w:p>
        </w:tc>
        <w:tc>
          <w:tcPr>
            <w:tcW w:type="dxa" w:w="2914"/>
          </w:tcPr>
          <w:p>
            <w:r/>
            <w:r>
              <w:rPr>
                <w:rFonts w:ascii="Times New Roman" w:hAnsi="Times New Roman"/>
                <w:b/>
                <w:sz w:val="22"/>
              </w:rPr>
              <w:t>Proportional reduction in total variance</w:t>
            </w:r>
          </w:p>
        </w:tc>
      </w:tr>
      <w:tr>
        <w:tc>
          <w:tcPr>
            <w:tcW w:type="dxa" w:w="2914"/>
          </w:tcPr>
          <w:p>
            <w:r/>
            <w:r>
              <w:rPr>
                <w:rFonts w:ascii="Times New Roman" w:hAnsi="Times New Roman"/>
                <w:sz w:val="22"/>
              </w:rPr>
              <w:t>L008</w:t>
            </w:r>
          </w:p>
        </w:tc>
        <w:tc>
          <w:tcPr>
            <w:tcW w:type="dxa" w:w="2914"/>
          </w:tcPr>
          <w:p>
            <w:r/>
            <w:r>
              <w:rPr>
                <w:rFonts w:ascii="Times New Roman" w:hAnsi="Times New Roman"/>
                <w:sz w:val="22"/>
              </w:rPr>
              <w:t>0.058</w:t>
            </w:r>
          </w:p>
        </w:tc>
        <w:tc>
          <w:tcPr>
            <w:tcW w:type="dxa" w:w="2914"/>
          </w:tcPr>
          <w:p>
            <w:r/>
            <w:r>
              <w:rPr>
                <w:rFonts w:ascii="Times New Roman" w:hAnsi="Times New Roman"/>
                <w:sz w:val="22"/>
              </w:rPr>
              <w:t>+64.1 (54.8 to 73.4)</w:t>
            </w:r>
          </w:p>
        </w:tc>
        <w:tc>
          <w:tcPr>
            <w:tcW w:type="dxa" w:w="2914"/>
          </w:tcPr>
          <w:p>
            <w:r/>
            <w:r>
              <w:rPr>
                <w:rFonts w:ascii="Times New Roman" w:hAnsi="Times New Roman"/>
                <w:sz w:val="22"/>
              </w:rPr>
              <w:t>&lt;0.001</w:t>
            </w:r>
          </w:p>
        </w:tc>
        <w:tc>
          <w:tcPr>
            <w:tcW w:type="dxa" w:w="2914"/>
          </w:tcPr>
          <w:p>
            <w:r/>
            <w:r>
              <w:rPr>
                <w:rFonts w:ascii="Times New Roman" w:hAnsi="Times New Roman"/>
                <w:sz w:val="22"/>
              </w:rPr>
              <w:t>0.358</w:t>
            </w:r>
          </w:p>
        </w:tc>
      </w:tr>
      <w:tr>
        <w:tc>
          <w:tcPr>
            <w:tcW w:type="dxa" w:w="2914"/>
          </w:tcPr>
          <w:p>
            <w:r/>
            <w:r>
              <w:rPr>
                <w:rFonts w:ascii="Times New Roman" w:hAnsi="Times New Roman"/>
                <w:sz w:val="22"/>
              </w:rPr>
              <w:t>L004</w:t>
            </w:r>
          </w:p>
        </w:tc>
        <w:tc>
          <w:tcPr>
            <w:tcW w:type="dxa" w:w="2914"/>
          </w:tcPr>
          <w:p>
            <w:r/>
            <w:r>
              <w:rPr>
                <w:rFonts w:ascii="Times New Roman" w:hAnsi="Times New Roman"/>
                <w:sz w:val="22"/>
              </w:rPr>
              <w:t>0.343</w:t>
            </w:r>
          </w:p>
        </w:tc>
        <w:tc>
          <w:tcPr>
            <w:tcW w:type="dxa" w:w="2914"/>
          </w:tcPr>
          <w:p>
            <w:r/>
            <w:r>
              <w:rPr>
                <w:rFonts w:ascii="Times New Roman" w:hAnsi="Times New Roman"/>
                <w:sz w:val="22"/>
              </w:rPr>
              <w:t>+23.0 (11.0 to 35.1)</w:t>
            </w:r>
          </w:p>
        </w:tc>
        <w:tc>
          <w:tcPr>
            <w:tcW w:type="dxa" w:w="2914"/>
          </w:tcPr>
          <w:p>
            <w:r/>
            <w:r>
              <w:rPr>
                <w:rFonts w:ascii="Times New Roman" w:hAnsi="Times New Roman"/>
                <w:sz w:val="22"/>
              </w:rPr>
              <w:t>&lt;0.001</w:t>
            </w:r>
          </w:p>
        </w:tc>
        <w:tc>
          <w:tcPr>
            <w:tcW w:type="dxa" w:w="2914"/>
          </w:tcPr>
          <w:p>
            <w:r/>
            <w:r>
              <w:rPr>
                <w:rFonts w:ascii="Times New Roman" w:hAnsi="Times New Roman"/>
                <w:sz w:val="22"/>
              </w:rPr>
              <w:t>0.020</w:t>
            </w:r>
          </w:p>
        </w:tc>
      </w:tr>
      <w:tr>
        <w:tc>
          <w:tcPr>
            <w:tcW w:type="dxa" w:w="2914"/>
          </w:tcPr>
          <w:p>
            <w:r/>
            <w:r>
              <w:rPr>
                <w:rFonts w:ascii="Times New Roman" w:hAnsi="Times New Roman"/>
                <w:sz w:val="22"/>
              </w:rPr>
              <w:t>L002</w:t>
            </w:r>
          </w:p>
        </w:tc>
        <w:tc>
          <w:tcPr>
            <w:tcW w:type="dxa" w:w="2914"/>
          </w:tcPr>
          <w:p>
            <w:r/>
            <w:r>
              <w:rPr>
                <w:rFonts w:ascii="Times New Roman" w:hAnsi="Times New Roman"/>
                <w:sz w:val="22"/>
              </w:rPr>
              <w:t>0.191</w:t>
            </w:r>
          </w:p>
        </w:tc>
        <w:tc>
          <w:tcPr>
            <w:tcW w:type="dxa" w:w="2914"/>
          </w:tcPr>
          <w:p>
            <w:r/>
            <w:r>
              <w:rPr>
                <w:rFonts w:ascii="Times New Roman" w:hAnsi="Times New Roman"/>
                <w:sz w:val="22"/>
              </w:rPr>
              <w:t>+49.0 (27.2 to 70.8)</w:t>
            </w:r>
          </w:p>
        </w:tc>
        <w:tc>
          <w:tcPr>
            <w:tcW w:type="dxa" w:w="2914"/>
          </w:tcPr>
          <w:p>
            <w:r/>
            <w:r>
              <w:rPr>
                <w:rFonts w:ascii="Times New Roman" w:hAnsi="Times New Roman"/>
                <w:sz w:val="22"/>
              </w:rPr>
              <w:t>&lt;0.001</w:t>
            </w:r>
          </w:p>
        </w:tc>
        <w:tc>
          <w:tcPr>
            <w:tcW w:type="dxa" w:w="2914"/>
          </w:tcPr>
          <w:p>
            <w:r/>
            <w:r>
              <w:rPr>
                <w:rFonts w:ascii="Times New Roman" w:hAnsi="Times New Roman"/>
                <w:sz w:val="22"/>
              </w:rPr>
              <w:t>0.125</w:t>
            </w:r>
          </w:p>
        </w:tc>
      </w:tr>
      <w:tr>
        <w:tc>
          <w:tcPr>
            <w:tcW w:type="dxa" w:w="2914"/>
          </w:tcPr>
          <w:p>
            <w:r/>
            <w:r>
              <w:rPr>
                <w:rFonts w:ascii="Times New Roman" w:hAnsi="Times New Roman"/>
                <w:sz w:val="22"/>
              </w:rPr>
              <w:t>L003</w:t>
            </w:r>
          </w:p>
        </w:tc>
        <w:tc>
          <w:tcPr>
            <w:tcW w:type="dxa" w:w="2914"/>
          </w:tcPr>
          <w:p>
            <w:r/>
            <w:r>
              <w:rPr>
                <w:rFonts w:ascii="Times New Roman" w:hAnsi="Times New Roman"/>
                <w:sz w:val="22"/>
              </w:rPr>
              <w:t>0.106</w:t>
            </w:r>
          </w:p>
        </w:tc>
        <w:tc>
          <w:tcPr>
            <w:tcW w:type="dxa" w:w="2914"/>
          </w:tcPr>
          <w:p>
            <w:r/>
            <w:r>
              <w:rPr>
                <w:rFonts w:ascii="Times New Roman" w:hAnsi="Times New Roman"/>
                <w:sz w:val="22"/>
              </w:rPr>
              <w:t>+55.8 (43.0 to 68.7)</w:t>
            </w:r>
          </w:p>
        </w:tc>
        <w:tc>
          <w:tcPr>
            <w:tcW w:type="dxa" w:w="2914"/>
          </w:tcPr>
          <w:p>
            <w:r/>
            <w:r>
              <w:rPr>
                <w:rFonts w:ascii="Times New Roman" w:hAnsi="Times New Roman"/>
                <w:sz w:val="22"/>
              </w:rPr>
              <w:t>&lt;0.001</w:t>
            </w:r>
          </w:p>
        </w:tc>
        <w:tc>
          <w:tcPr>
            <w:tcW w:type="dxa" w:w="2914"/>
          </w:tcPr>
          <w:p>
            <w:r/>
            <w:r>
              <w:rPr>
                <w:rFonts w:ascii="Times New Roman" w:hAnsi="Times New Roman"/>
                <w:sz w:val="22"/>
              </w:rPr>
              <w:t>0.162</w:t>
            </w:r>
          </w:p>
        </w:tc>
      </w:tr>
    </w:tbl>
    <w:p>
      <w:pPr>
        <w:spacing w:after="240"/>
      </w:pPr>
      <w:r>
        <w:rPr>
          <w:rFonts w:ascii="Times New Roman" w:hAnsi="Times New Roman"/>
          <w:i/>
          <w:sz w:val="20"/>
        </w:rPr>
        <w:t>β university, fixed effect coefficient for university hospital presence (binary 0/1); CI, confidence interval; ICC, intraclass correlation coefficient; proportional reduction in total variance, decrease in total (prefecture + residual) variance after adding the university hospital fixed effect.</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