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Regional variation in anaesthesia practice in Japan under universal health coverage: structural determinants and claims-audit sensitivity</w:t>
      </w:r>
    </w:p>
    <w:p>
      <w:pPr>
        <w:jc w:val="center"/>
      </w:pPr>
      <w:r>
        <w:rPr>
          <w:rFonts w:ascii="Times New Roman" w:hAnsi="Times New Roman"/>
          <w:b w:val="0"/>
          <w:i/>
          <w:sz w:val="24"/>
        </w:rPr>
        <w:t>[Authors and affiliations to be supplied]</w:t>
      </w:r>
    </w:p>
    <w:p>
      <w:pPr>
        <w:jc w:val="center"/>
      </w:pPr>
      <w:r>
        <w:rPr>
          <w:rFonts w:ascii="Times New Roman" w:hAnsi="Times New Roman"/>
          <w:b w:val="0"/>
          <w:i/>
          <w:sz w:val="24"/>
        </w:rPr>
        <w:t>[Corresponding author: name, postal address, telephone, email]</w:t>
      </w:r>
    </w:p>
    <w:p/>
    <w:p>
      <w:r>
        <w:rPr>
          <w:rFonts w:ascii="Times New Roman" w:hAnsi="Times New Roman"/>
          <w:b w:val="0"/>
          <w:i/>
          <w:sz w:val="24"/>
        </w:rPr>
        <w:t>Article type: Original research article</w:t>
      </w:r>
    </w:p>
    <w:p>
      <w:r>
        <w:rPr>
          <w:rFonts w:ascii="Times New Roman" w:hAnsi="Times New Roman"/>
          <w:i/>
          <w:sz w:val="24"/>
        </w:rPr>
        <w:t>Word count (main text, excluding abstract, references, tables and figures): approximately 3428 words</w:t>
      </w:r>
    </w:p>
    <w:p>
      <w:r>
        <w:rPr>
          <w:rFonts w:ascii="Times New Roman" w:hAnsi="Times New Roman"/>
          <w:i/>
          <w:sz w:val="24"/>
        </w:rPr>
        <w:t>Tables: 2   Figures: 2   References: 21</w:t>
      </w:r>
    </w:p>
    <w:p>
      <w:r>
        <w:rPr>
          <w:rFonts w:ascii="Times New Roman" w:hAnsi="Times New Roman"/>
          <w:b w:val="0"/>
          <w:i/>
          <w:sz w:val="24"/>
        </w:rPr>
        <w:t>Reporting guideline: STROBE checklist for cross-sectional studies</w:t>
      </w:r>
    </w:p>
    <w:p>
      <w:r>
        <w:rPr>
          <w:rFonts w:ascii="Times New Roman" w:hAnsi="Times New Roman"/>
          <w:b w:val="0"/>
          <w:i/>
          <w:sz w:val="24"/>
        </w:rPr>
        <w:t>Target journal: Health Policy</w:t>
      </w:r>
    </w:p>
    <w:p/>
    <w:p>
      <w:r>
        <w:rPr>
          <w:rFonts w:ascii="Times New Roman" w:hAnsi="Times New Roman"/>
          <w:b/>
          <w:i w:val="0"/>
          <w:sz w:val="24"/>
        </w:rPr>
        <w:t>Declarations</w:t>
      </w:r>
    </w:p>
    <w:p>
      <w:r>
        <w:rPr>
          <w:rFonts w:ascii="Times New Roman" w:hAnsi="Times New Roman"/>
          <w:b w:val="0"/>
          <w:i w:val="0"/>
          <w:sz w:val="24"/>
        </w:rPr>
        <w:t>Ethics approval and consent to participate: This study used publicly available aggregate data only. Ethics committee approval was not required under the Ethical Guidelines for Medical and Biological Research Involving Human Subjects (Japan, 2021 revision).</w:t>
      </w:r>
    </w:p>
    <w:p>
      <w:r>
        <w:rPr>
          <w:rFonts w:ascii="Times New Roman" w:hAnsi="Times New Roman"/>
          <w:b w:val="0"/>
          <w:i w:val="0"/>
          <w:sz w:val="24"/>
        </w:rPr>
        <w:t>Consent for publication: Not applicable.</w:t>
      </w:r>
    </w:p>
    <w:p>
      <w:r>
        <w:rPr>
          <w:rFonts w:ascii="Times New Roman" w:hAnsi="Times New Roman"/>
          <w:b w:val="0"/>
          <w:i w:val="0"/>
          <w:sz w:val="24"/>
        </w:rPr>
        <w:t>Availability of data and materials: All data are publicly available. Standardised claim ratios: Cabinet Office Regional Variation Visualisation (https://www5.cao.go.jp/keizai-shimon/kaigi/special/reform/mieruka/). Physician statistics: e-Stat (https://www.e-stat.go.jp). Geographic boundary data: National Land Numerical Information (https://nlftp.mlit.go.jp). Derived datasets and analysis code are available at https://github.com/bougtoir/anesthesia_variation_335_region and archived on Zenodo (https://doi.org/10.5281/zenodo.21912042).</w:t>
      </w:r>
    </w:p>
    <w:p>
      <w:r>
        <w:rPr>
          <w:rFonts w:ascii="Times New Roman" w:hAnsi="Times New Roman"/>
          <w:b w:val="0"/>
          <w:i w:val="0"/>
          <w:sz w:val="24"/>
        </w:rPr>
        <w:t>Declaration of competing interests: [To be completed by the authors.] No known competing interests.</w:t>
      </w:r>
    </w:p>
    <w:p>
      <w:r>
        <w:rPr>
          <w:rFonts w:ascii="Times New Roman" w:hAnsi="Times New Roman"/>
          <w:b w:val="0"/>
          <w:i w:val="0"/>
          <w:sz w:val="24"/>
        </w:rPr>
        <w:t>Funding: [To be completed by the authors.] This work received no specific grant.</w:t>
      </w:r>
    </w:p>
    <w:p>
      <w:r>
        <w:rPr>
          <w:rFonts w:ascii="Times New Roman" w:hAnsi="Times New Roman"/>
          <w:b w:val="0"/>
          <w:i w:val="0"/>
          <w:sz w:val="24"/>
        </w:rPr>
        <w:t>Authors' contributions: [To be completed by the authors.]</w:t>
      </w:r>
    </w:p>
    <w:p>
      <w:r>
        <w:rPr>
          <w:rFonts w:ascii="Times New Roman" w:hAnsi="Times New Roman"/>
          <w:b w:val="0"/>
          <w:i w:val="0"/>
          <w:sz w:val="24"/>
        </w:rPr>
        <w:t>Declaration of generative AI use in scientific writing: During the preparation of this work the authors used Devin (Cognition AI) as a coding assistant to support data processing, statistical modelling, geographic visualisation and manuscript formatting. After using this tool, the authors reviewed and edited the content as needed and take full responsibility for the integrity and accuracy of the published work. All scientific interpretation, methodological decisions and the wording of scientific claims were made by the human authors.</w:t>
      </w:r>
    </w:p>
    <w:p>
      <w:r>
        <w:rPr>
          <w:rFonts w:ascii="Times New Roman" w:hAnsi="Times New Roman"/>
          <w:b w:val="0"/>
          <w:i w:val="0"/>
          <w:sz w:val="24"/>
        </w:rPr>
        <w:t>Acknowledgements: The authors thank the Cabinet Office Regional Variation Visualisation initiative, the Ministry of Health, Labour and Welfare, and the Ministry of Land, Infrastructure, Transport and Tourism for maintaining the public datasets used in this study.</w:t>
      </w:r>
    </w:p>
    <w:p>
      <w:r>
        <w:rPr>
          <w:rFonts w:ascii="Times New Roman" w:hAnsi="Times New Roman"/>
          <w:b w:val="0"/>
          <w:i w:val="0"/>
          <w:sz w:val="24"/>
        </w:rPr>
        <w:t>Patient and public involvement: Patients and the public were not involved in the design, conduct or reporting of this study because it uses aggregate, publicly released data.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