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240"/>
        <w:jc w:val="center"/>
      </w:pPr>
      <w:r>
        <w:rPr>
          <w:b/>
          <w:i w:val="0"/>
          <w:sz w:val="28"/>
        </w:rPr>
        <w:t>Quantifying the tempo effect on simultaneously living population: Evidence from 40 countries, 1970–2023</w:t>
      </w:r>
    </w:p>
    <w:p>
      <w:pPr>
        <w:spacing w:after="360"/>
        <w:jc w:val="center"/>
      </w:pPr>
      <w:r>
        <w:rPr>
          <w:b w:val="0"/>
          <w:i/>
          <w:sz w:val="20"/>
        </w:rPr>
        <w:t>Short title: The tempo effect on population size</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7,400</w:t>
      </w:r>
    </w:p>
    <w:p>
      <w:r>
        <w:br w:type="page"/>
      </w:r>
    </w:p>
    <w:p>
      <w:pPr>
        <w:spacing w:before="360" w:after="240"/>
      </w:pPr>
      <w:r>
        <w:rPr>
          <w:b/>
          <w:color w:val="000000"/>
          <w:sz w:val="24"/>
        </w:rPr>
        <w:t>Abstract</w:t>
      </w:r>
    </w:p>
    <w:p>
      <w:pPr>
        <w:spacing w:after="240"/>
      </w:pPr>
      <w:r>
        <w:rPr>
          <w:b w:val="0"/>
          <w:i w:val="0"/>
          <w:sz w:val="24"/>
        </w:rPr>
        <w:t>The timing of childbearing affects population size independently of the number of children born, yet this tempo channel remains absent from most population projection systems and policy frameworks. Using a parsimonious endogenous renewal model, we analyse 40 countries over 1970–2023 and compare five model variants. The tempo-invariant and tempo-responsive models yield nearly identical fit (median absolute percentage error 4.5% versus 4.6%), revealing that the period total fertility rate absorbs tempo distortion, rendering the tempo channel invisible to conventional projections. Only when tempo is explicitly decomposed via the Bongaarts–Feeney tempo-adjusted total fertility rate does the best fit emerge (4.3%). Counterfactual analysis shows that the observed rise in mean age at childbearing independently reduced simultaneously living population by 8–17% across Organisation for Economic Co-operation and Development countries. None of the 15 national projection systems reviewed decomposes this channel. Birth timing deserves recognition alongside birth quantum and survival as a third policy lever.</w:t>
      </w:r>
    </w:p>
    <w:p>
      <w:pPr>
        <w:spacing w:after="360"/>
      </w:pPr>
      <w:r>
        <w:rPr>
          <w:b w:val="0"/>
          <w:i/>
          <w:sz w:val="20"/>
        </w:rPr>
        <w:t>Keywords: tempo effect; simultaneously living population; mean age at childbearing; fertility postponement; population projection; birth timing; OECD</w:t>
      </w:r>
    </w:p>
    <w:p>
      <w:r>
        <w:br w:type="page"/>
      </w:r>
    </w:p>
    <w:p>
      <w:pPr>
        <w:spacing w:before="360" w:after="240"/>
      </w:pPr>
      <w:r>
        <w:rPr>
          <w:b/>
          <w:color w:val="000000"/>
          <w:sz w:val="24"/>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Organisation for Economic Co-operation and Development (OECD) nations share this quantum-centric framing (Thévenon 2011). Yet a second, independent demographic force shapes how many people are simultaneously alive at any given moment: the timing of births.</w:t>
      </w:r>
    </w:p>
    <w:p>
      <w:pPr>
        <w:spacing w:after="240"/>
      </w:pPr>
      <w:r>
        <w:rPr>
          <w:b w:val="0"/>
          <w:i w:val="0"/>
          <w:sz w:val="24"/>
        </w:rPr>
        <w:t>Ryder (1964) introduced the concept of demographic translation—the idea that shifts in the timing of vital events alter period rates independently of underlying quantum. Bongaarts and Feeney (1998) formalised the quantum–tempo distinction for fertility, showing that the period total fertility rate (TFR) is mechanically depressed when women postpone childbearing, even if completed cohort fertility remains unchanged. Subsequent work extended this framework: Kohler and Ortega (2002) developed tempo-adjusted parity progression measures; Sobotka (2004) demonstrated that much of Europe’s lowest-low fertility could be attributed to postponement rather than permanent decline in desired family size; and Bongaarts and Feeney (2006) showed that tempo distortions affect all life-cycle events, not only fertility indicators.</w:t>
      </w:r>
    </w:p>
    <w:p>
      <w:pPr>
        <w:spacing w:after="240"/>
      </w:pPr>
      <w:r>
        <w:rPr>
          <w:b w:val="0"/>
          <w:i w:val="0"/>
          <w:sz w:val="24"/>
        </w:rPr>
        <w:t>Crucially, Goldstein et al. (2003)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before="240" w:after="240"/>
        <w:jc w:val="center"/>
      </w:pPr>
      <w:r>
        <w:rPr>
          <w:i/>
          <w:sz w:val="24"/>
        </w:rPr>
        <w:t>[Insert Table 1 about here]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 (2003)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pace implication—that tempo affects not only the level but the rate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five contributions. First, we demonstrate that the standard period total fertility rate (TFR) absorbs most tempo distortion, rendering the tempo channel invisible: a tempo-invariant model (MAC fixed) and a tempo-responsive model (MAC updated) yield nearly identical fit (median absolute percentage error [MAPE] 4.5% versus 4.6%), because TFR itself already reflects postponement. Second, we show that explicit tempo decomposition via the Bongaarts–Feeney tempo-adjusted TFR (TFR*) (Bongaarts and Feeney 1998) restores visibility: the tempo-adjusted model achieves the best overall fit (median MAPE 4.3%), with the largest gains in countries with strong postponement—Republic of Korea (11.9% → 6.9%), China (15.6% → 8.6%), Colombia (13.1% → 7.8%). Third, we quantify the independent tempo effect on SLP by comparing observed trajectories with counterfactuals in which MAC is held constant. Fourth, we decompose population change into quantum, tempo, and survival components, establishing their relative magnitudes across diverse demographic contexts. Fifth,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spacing w:before="360" w:after="240"/>
      </w:pPr>
      <w:r>
        <w:rPr>
          <w:b/>
          <w:color w:val="000000"/>
          <w:sz w:val="24"/>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five-year increase in MAC reduces the population stock by roughly one-sixth, independent of fertility quantum (Goldstein et al. 2003).</w:t>
      </w:r>
    </w:p>
    <w:p>
      <w:pPr>
        <w:spacing w:after="240"/>
      </w:pPr>
      <w:r>
        <w:rPr>
          <w:b w:val="0"/>
          <w:i w:val="0"/>
          <w:sz w:val="24"/>
        </w:rPr>
        <w:t>In practice, populations are not stationary: fertility changes over time, survival improves, and age structures carry momentum from past demographic regimes (Keyfitz 1971). The stylised L/MAC relationship therefore serves as an analytical benchmark that actual populations approximate but do not exactly match. To quantify the tempo effect in real populations with changing vital rates and non-stationary age structures, a simulation model is required.</w:t>
      </w:r>
    </w:p>
    <w:p>
      <w:pPr>
        <w:spacing w:before="360" w:after="240"/>
      </w:pPr>
      <w:r>
        <w:rPr>
          <w:b/>
          <w:color w:val="000000"/>
          <w:sz w:val="24"/>
        </w:rPr>
        <w:t>3. Model and data</w:t>
      </w:r>
    </w:p>
    <w:p>
      <w:pPr>
        <w:spacing w:before="240" w:after="160"/>
      </w:pPr>
      <w:r>
        <w:rPr>
          <w:i/>
          <w:color w:val="000000"/>
          <w:sz w:val="24"/>
        </w:rPr>
        <w:t>3.1 Endogenous renewal model</w:t>
      </w:r>
    </w:p>
    <w:p>
      <w:pPr>
        <w:spacing w:after="160"/>
      </w:pPr>
      <w:r>
        <w:rPr>
          <w:b w:val="0"/>
          <w:i w:val="0"/>
          <w:sz w:val="24"/>
        </w:rPr>
        <w:t>We construct a discrete-time, single-sex population model in which the population vector P(t) = [P₀(t), P₁(t), …, P₁₀₀(t)] evolves annually (Preston et al. 2001). At each time step:</w:t>
      </w:r>
    </w:p>
    <w:p>
      <w:pPr>
        <w:spacing w:after="160"/>
      </w:pPr>
      <w:r>
        <w:rPr>
          <w:b w:val="0"/>
          <w:i w:val="0"/>
          <w:sz w:val="24"/>
        </w:rPr>
        <w:t>(a) Survival: Individuals at age x survive to age x + 1 with probability derived from a Gompertz hazard function h(x) = a·exp(b·x) (Gompertz 1825).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ASFR denotes the age-specific fertility rate and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 (Keyfitz 1971)—the tendency for population to continue growing after fertility falls to replacement due to a young age structure—is captured endogenously through the age-structured dynamics.</w:t>
      </w:r>
    </w:p>
    <w:p>
      <w:pPr>
        <w:spacing w:before="240" w:after="160"/>
      </w:pPr>
      <w:r>
        <w:rPr>
          <w:i/>
          <w:color w:val="000000"/>
          <w:sz w:val="24"/>
        </w:rPr>
        <w:t>3.2 Data</w:t>
      </w:r>
    </w:p>
    <w:p>
      <w:pPr>
        <w:spacing w:after="240"/>
      </w:pPr>
      <w:r>
        <w:rPr>
          <w:b w:val="0"/>
          <w:i w:val="0"/>
          <w:sz w:val="24"/>
        </w:rPr>
        <w:t>All parameters and validation data are drawn from the United Nations World Population Prospects 2024 (United Nations 2024). We analyse 40 countries: all 38 OECD member states (as of 2024) plus China and the Democratic Republic of the Congo, chosen to span the full range of demographic transition stages. Initial population age structures (five-year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 (Stevens et al. 2016).</w:t>
      </w:r>
    </w:p>
    <w:p>
      <w:pPr>
        <w:spacing w:before="240" w:after="160"/>
      </w:pPr>
      <w:r>
        <w:rPr>
          <w:i/>
          <w:color w:val="000000"/>
          <w:sz w:val="24"/>
        </w:rPr>
        <w:t>3.3 Model variants and counterfactuals</w:t>
      </w:r>
    </w:p>
    <w:p>
      <w:pPr>
        <w:spacing w:after="160"/>
      </w:pPr>
      <w:r>
        <w:rPr>
          <w:b w:val="0"/>
          <w:i w:val="0"/>
          <w:sz w:val="24"/>
        </w:rPr>
        <w:t>We implement four model variants, plus the observed population, yielding a five-way comparison framework:</w:t>
      </w:r>
    </w:p>
    <w:p>
      <w:pPr>
        <w:spacing w:after="160"/>
      </w:pPr>
      <w:r>
        <w:rPr>
          <w:b w:val="0"/>
          <w:i w:val="0"/>
          <w:sz w:val="24"/>
        </w:rPr>
        <w:t>Tempo-responsive model: All four parameters (TFR, e₀, MAC, σ) are updated every 10 years using observed UN values (e.g. 1970 parameters for 1970–1979, 1980 for 1980–1989, etc.), running from 1970 to 2023 for all 40 countries.</w:t>
      </w:r>
    </w:p>
    <w:p>
      <w:pPr>
        <w:spacing w:after="160"/>
      </w:pPr>
      <w:r>
        <w:rPr>
          <w:b w:val="0"/>
          <w:i w:val="0"/>
          <w:sz w:val="24"/>
        </w:rPr>
        <w:t>Tempo-invariant model: TFR, e₀, and σ are updated every 10 years as above, but MAC is held fixed at its 1970 value throughout. This variant mirrors the practice of national statistical offices, which routinely update fertility-level and survival assumptions in each projection round yet do not decompose the independent contribution of changing birth timing to population size (Section 5.1).</w:t>
      </w:r>
    </w:p>
    <w:p>
      <w:pPr>
        <w:spacing w:after="160"/>
      </w:pPr>
      <w:r>
        <w:rPr>
          <w:b w:val="0"/>
          <w:i w:val="0"/>
          <w:sz w:val="24"/>
        </w:rPr>
        <w:t>Tempo-adjusted model (TFR*): All parameters are updated decadally as in the tempo-responsive model, but the fertility input is replaced with the Bongaarts–Feeney tempo-adjusted TFR (Bongaarts and Feeney 1998). The adjustment removes the mechanical depression of period TFR caused by rising MAC: TFR* = TFR / (1 − dMAC/dt), where dMAC/dt is estimated from centred differences over the surrounding years and clipped to [−0.5, 0.5] to prevent extreme values. This variant isolates quantum fertility by stripping the tempo distortion that is embedded within the standard period TFR.</w:t>
      </w:r>
    </w:p>
    <w:p>
      <w:pPr>
        <w:spacing w:after="160"/>
      </w:pPr>
      <w:r>
        <w:rPr>
          <w:b w:val="0"/>
          <w:i w:val="0"/>
          <w:sz w:val="24"/>
        </w:rPr>
        <w:t>Fixed-parameter model: All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tempo-responsive model with one parameter held at its 1970 value while others evolve as observed: (i) MAC frozen at 1970 level (tempo counterfactual—equivalent to the tempo-invariant variant); (ii) TFR frozen at 1970 level (quantum counterfactual); (iii) e₀ frozen at 1970 level (survival counterfactual). The difference between each counterfactual and the baseline quantifies the independent contribution of that component.</w:t>
      </w:r>
    </w:p>
    <w:p>
      <w:pPr>
        <w:spacing w:before="360" w:after="240"/>
      </w:pPr>
      <w:r>
        <w:rPr>
          <w:b/>
          <w:color w:val="000000"/>
          <w:sz w:val="24"/>
        </w:rPr>
        <w:t>4. Results</w:t>
      </w:r>
    </w:p>
    <w:p>
      <w:pPr>
        <w:spacing w:before="240" w:after="160"/>
      </w:pPr>
      <w:r>
        <w:rPr>
          <w:i/>
          <w:color w:val="000000"/>
          <w:sz w:val="24"/>
        </w:rPr>
        <w:t>4.1 Why tempo is invisible in standard projections—and how to reveal it</w:t>
      </w:r>
    </w:p>
    <w:p>
      <w:pPr>
        <w:spacing w:after="240"/>
      </w:pPr>
      <w:r>
        <w:rPr>
          <w:b w:val="0"/>
          <w:i w:val="0"/>
          <w:sz w:val="24"/>
        </w:rPr>
        <w:t>National statistical offices routinely update their population projections, revising fertility-level and survival assumptions in each round. Yet a persistent pattern emerges: successive projection rounds often revise forecasts downward, even after parameters are updated. Japan’s National Institute of Population and Social Security Research, for example, has lowered its long-term population forecast in virtually every round since the 1990s, despite incorporating updated TFR and life expectancy data. We hypothesise that this serial downward revision partly reflects the accumulating tempo effect—an independent population-reducing force that standard projection updates do not decompose.</w:t>
      </w:r>
    </w:p>
    <w:p>
      <w:pPr>
        <w:spacing w:after="120"/>
      </w:pPr>
      <w:r>
        <w:rPr>
          <w:b w:val="0"/>
          <w:i w:val="0"/>
          <w:sz w:val="24"/>
        </w:rPr>
        <w:t>To test this hypothesis, we compare four model variants against observed population trajectories (Table 2). The fixed-parameter model holds all parameters constant—analogous to a single projection that is never revised. The tempo-invariant model updates TFR and e₀ every 10 years but keeps MAC fixed—analogous to projection systems that revise fertility levels and mortality without separating the tempo channel. The tempo-responsive model updates all parameters including MAC. The tempo-adjusted model replaces period TFR with the Bongaarts–Feeney TFR*, explicitly stripping tempo distortion from the fertility input.</w:t>
      </w:r>
    </w:p>
    <w:p>
      <w:pPr>
        <w:spacing w:before="240" w:after="240"/>
        <w:jc w:val="center"/>
      </w:pPr>
      <w:r>
        <w:rPr>
          <w:i/>
          <w:sz w:val="24"/>
        </w:rPr>
        <w:t>[Insert Table 2 about here]</w:t>
      </w:r>
    </w:p>
    <w:p>
      <w:pPr>
        <w:spacing w:after="240"/>
      </w:pPr>
      <w:r>
        <w:rPr>
          <w:b w:val="0"/>
          <w:i w:val="0"/>
          <w:sz w:val="24"/>
        </w:rPr>
        <w:t>The most revealing finding is the near-identical performance of the tempo-invariant and tempo-responsive models (median MAPE 4.5% versus 4.6%). Both update parameters every 10 years—as national statistical offices do in periodic projection rounds—but differ in a single respect: whether MAC is allowed to evolve. That this difference is negligible is itself the key insight. The period TFR used by the tempo-invariant model already incorporates the mechanical depression caused by rising MAC: when women postpone childbearing, age-specific fertility rates decline at younger ages, depressing the period TFR even if completed cohort fertility remains unchanged (Bongaarts and Feeney 1998). Consequently, the tempo effect is absorbed into the TFR input and becomes invisible to the projection framework. The model ‘works’ for the wrong reason—it captures the population-level consequence of postponement through a lower TFR, but attributes the entire decline to quantum rather than decomposing it into quantum and tempo.</w:t>
      </w:r>
    </w:p>
    <w:p>
      <w:pPr>
        <w:spacing w:after="240"/>
      </w:pPr>
      <w:r>
        <w:rPr>
          <w:b w:val="0"/>
          <w:i w:val="0"/>
          <w:sz w:val="24"/>
        </w:rPr>
        <w:t>This invisibility has a direct policy consequence: policymakers who observe a declining TFR respond with quantum interventions (pronatalist cash transfers, child allowances) because the period TFR does not distinguish between fewer births and delayed births. Yet a substantial portion of the observed TFR decline may reflect postponement—a timing shift that is amenable to different policy instruments.</w:t>
      </w:r>
    </w:p>
    <w:p>
      <w:pPr>
        <w:spacing w:after="240"/>
      </w:pPr>
      <w:r>
        <w:rPr>
          <w:b w:val="0"/>
          <w:i w:val="0"/>
          <w:sz w:val="24"/>
        </w:rPr>
        <w:t>The tempo-adjusted model (TFR*) breaks this invisibility. By replacing period TFR with TFR* = TFR / (1 − dMAC/dt), the Bongaarts–Feeney adjustment strips the tempo distortion from the fertility input, revealing quantum fertility. The tempo-adjusted model achieves the best overall fit (median MAPE 4.3%, mean 5.8%), improving on both the tempo-invariant and tempo-responsive variants. Crucially, the improvement is concentrated in countries where postponement was strongest: Republic of Korea (MAPE 11.9% → 6.9%), China (15.6% → 8.6%), Colombia (13.1% → 7.8%), Sweden (5.7% → 3.5%), Denmark (3.0% → 1.0%). In total, 26 of 40 countries show improved fit under TFR*. Where TFR* does not improve fit (e.g. France, Japan), the implication is that the period TFR decline was predominantly quantum—a substantively informative finding in itself.</w:t>
      </w:r>
    </w:p>
    <w:p>
      <w:pPr>
        <w:spacing w:after="120"/>
      </w:pPr>
      <w:r>
        <w:rPr>
          <w:b w:val="0"/>
          <w:i w:val="0"/>
          <w:sz w:val="24"/>
        </w:rPr>
        <w:t>Countries with MAPE exceeding 10% in the tempo-responsive model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All five variants are displayed: the near-overlap of tempo-invariant and tempo-responsive lines visually confirms the invisibility of tempo in standard TFR-based projections, while the tempo-adjusted trajectory diverges where postponement was strongest (Republic of Korea, China).</w:t>
      </w:r>
    </w:p>
    <w:p>
      <w:pPr>
        <w:spacing w:before="240" w:after="240"/>
        <w:jc w:val="center"/>
      </w:pPr>
      <w:r>
        <w:rPr>
          <w:i/>
          <w:sz w:val="24"/>
        </w:rPr>
        <w:t>[Insert Figure 1 about here]</w:t>
      </w:r>
    </w:p>
    <w:p>
      <w:pPr>
        <w:spacing w:after="240"/>
      </w:pPr>
      <w:r>
        <w:rPr>
          <w:b w:val="0"/>
          <w:i w:val="0"/>
          <w:sz w:val="24"/>
        </w:rPr>
        <w:t>The validation confirms that the four-parameter model captures the quantum–tempo–survival mechanism with sufficient fidelity to support counterfactual decomposition, and that explicit tempo decomposition via TFR* yields measurably better projections than either conventional variant. We now turn to the counterfactual analysis.</w:t>
      </w:r>
    </w:p>
    <w:p>
      <w:pPr>
        <w:spacing w:before="240" w:after="160"/>
      </w:pPr>
      <w:r>
        <w:rPr>
          <w:i/>
          <w:color w:val="000000"/>
          <w:sz w:val="24"/>
        </w:rPr>
        <w:t>4.2 The magnitude of the tempo effect</w:t>
      </w:r>
    </w:p>
    <w:p>
      <w:pPr>
        <w:spacing w:after="240"/>
      </w:pPr>
      <w:r>
        <w:rPr>
          <w:b w:val="0"/>
          <w:i w:val="0"/>
          <w:sz w:val="24"/>
        </w:rPr>
        <w:t>How much of observed population change is attributable to delayed childbearing? To answer this, we compare the baseline tempo-responsive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four- to six-year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before="240" w:after="240"/>
        <w:jc w:val="center"/>
      </w:pPr>
      <w:r>
        <w:rPr>
          <w:i/>
          <w:sz w:val="24"/>
        </w:rPr>
        <w:t>[Insert Table 3 about here]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 (2004) and Kohler et al. (2002)—had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spacing w:before="240" w:after="160"/>
      </w:pPr>
      <w:r>
        <w:rPr>
          <w:i/>
          <w:color w:val="000000"/>
          <w:sz w:val="24"/>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before="240" w:after="240"/>
        <w:jc w:val="center"/>
      </w:pPr>
      <w:r>
        <w:rPr>
          <w:i/>
          <w:sz w:val="24"/>
        </w:rPr>
        <w:t>[Insert Table 4 about here]</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Democratic Republic of the Congo,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240" w:after="240"/>
        <w:jc w:val="center"/>
      </w:pPr>
      <w:r>
        <w:rPr>
          <w:i/>
          <w:sz w:val="24"/>
        </w:rPr>
        <w:t>[Insert Figure 2 about here]</w:t>
      </w:r>
    </w:p>
    <w:p>
      <w:pPr>
        <w:spacing w:before="240" w:after="160"/>
      </w:pPr>
      <w:r>
        <w:rPr>
          <w:i/>
          <w:color w:val="000000"/>
          <w:sz w:val="24"/>
        </w:rPr>
        <w:t>4.4 The pace of demographic change</w:t>
      </w:r>
    </w:p>
    <w:p>
      <w:pPr>
        <w:spacing w:after="240"/>
      </w:pPr>
      <w:r>
        <w:rPr>
          <w:b w:val="0"/>
          <w:i w:val="0"/>
          <w:sz w:val="24"/>
        </w:rPr>
        <w:t>The tempo effect operates not only on the level of population but on the rate of change. This pace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nine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fixed-parameter model’s degradation over longer horizons reflects accumulating demographic change—the very phenomenon our decomposition quantifies. Figure 4 compares MAPE and final population ratio across countries for all four model variants, confirming that the tempo-adjusted model (TFR*) achieves the best overall fit, particularly in countries with strong postponement.</w:t>
      </w:r>
    </w:p>
    <w:p>
      <w:pPr>
        <w:spacing w:before="240" w:after="240"/>
        <w:jc w:val="center"/>
      </w:pPr>
      <w:r>
        <w:rPr>
          <w:i/>
          <w:sz w:val="24"/>
        </w:rPr>
        <w:t>[Insert Figure 3 about here]</w:t>
      </w:r>
    </w:p>
    <w:p>
      <w:pPr>
        <w:spacing w:before="240" w:after="240"/>
        <w:jc w:val="center"/>
      </w:pPr>
      <w:r>
        <w:rPr>
          <w:i/>
          <w:sz w:val="24"/>
        </w:rPr>
        <w:t>[Insert Figure 4 about here]</w:t>
      </w:r>
    </w:p>
    <w:p>
      <w:pPr>
        <w:spacing w:before="360" w:after="240"/>
      </w:pPr>
      <w:r>
        <w:rPr>
          <w:b/>
          <w:color w:val="000000"/>
          <w:sz w:val="24"/>
        </w:rPr>
        <w:t>5. Discussion</w:t>
      </w:r>
    </w:p>
    <w:p>
      <w:pPr>
        <w:spacing w:after="240"/>
      </w:pPr>
      <w:r>
        <w:rPr>
          <w:b w:val="0"/>
          <w:i w:val="0"/>
          <w:sz w:val="24"/>
        </w:rPr>
        <w:t>Our results provide four main findings with implications for demographic research and policy.</w:t>
      </w:r>
    </w:p>
    <w:p>
      <w:pPr>
        <w:spacing w:after="240"/>
      </w:pPr>
      <w:r>
        <w:rPr>
          <w:b w:val="0"/>
          <w:i w:val="0"/>
          <w:sz w:val="24"/>
        </w:rPr>
        <w:t>First, and most fundamentally, the tempo effect on population size is invisible within standard projection frameworks. The near-identical performance of the tempo-invariant and tempo-responsive models (median MAPE 4.5% versus 4.6%) demonstrates that period TFR—the indicator on which virtually all national and international projections depend—absorbs tempo distortion without decomposing it. When MAC rises, period TFR falls mechanically (Bongaarts and Feeney 1998), and projection systems treat this decline as if it were entirely quantum. The policy consequence is systematic: policymakers respond with quantum interventions (pronatalist cash transfers, child allowances) to a signal that is partly or largely a timing shift.</w:t>
      </w:r>
    </w:p>
    <w:p>
      <w:pPr>
        <w:spacing w:after="240"/>
      </w:pPr>
      <w:r>
        <w:rPr>
          <w:b w:val="0"/>
          <w:i w:val="0"/>
          <w:sz w:val="24"/>
        </w:rPr>
        <w:t>Second, explicit tempo decomposition via the Bongaarts–Feeney TFR* achieves the best overall fit (median MAPE 4.3%, mean 5.8%), outperforming both conventional variants. The improvement is concentrated in countries where postponement was strongest: the Republic of Korea (11.9% → 6.9%), China (15.6% → 8.6%), Colombia (13.1% → 7.8%), Sweden (5.7% → 3.5%), Denmark (3.0% → 1.0%). This pattern reveals where the tempo distortion is largest—and, by implication, where tempo-based policy interventions have the greatest potential demographic payoff. Conversely, countries where TFR* does not improve fit (e.g. France, Japan) are those where the period TFR decline was predominantly quantum—itself a policy-relevant distinction. This finding extends Goldstein et al.’s (2003) theoretical insight from stylised EU-15 projections to observed population data across 40 countries spanning the full range of demographic transition stages.</w:t>
      </w:r>
    </w:p>
    <w:p>
      <w:pPr>
        <w:spacing w:after="240"/>
      </w:pPr>
      <w:r>
        <w:rPr>
          <w:b w:val="0"/>
          <w:i w:val="0"/>
          <w:sz w:val="24"/>
        </w:rPr>
        <w:t>Third, the counterfactual decomposition reveals that tempo is typically the second-largest component of population change in post-transitional countries. The observed four- to six-year increase in MAC across OECD countries reduced SLP by 8–17%, magnitudes comparable to decades of below-replacement fertility. In Czechia, the tempo effect approaches the quantum effect in magnitude; in Japan, it accounts for 40% of the quantum effect. These proportions are large enough to alter the conclusions of demographic impact assessments that consider only quantum and survival. Lutz et al. (2001) projected the end of world population growth; our analysis shows that the tempo channel is a substantial driver of how rapidly that endpoint is approached.</w:t>
      </w:r>
    </w:p>
    <w:p>
      <w:pPr>
        <w:spacing w:after="240"/>
      </w:pPr>
      <w:r>
        <w:rPr>
          <w:b w:val="0"/>
          <w:i w:val="0"/>
          <w:sz w:val="24"/>
        </w:rPr>
        <w:t>Fourth,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 (McDonald 2000)—could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 (2007) showed that pronatalist cash transfers have modest and often transient effects on quantum; our analysis suggests that even if quantum remains unchanged, a two-year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 (2012) showed that some European countries had begun to reverse postponement trends, with period TFR recovering as tempo distortions subsided. Myrskylä et al. (2009)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Australian Bureau of Statistics estimates. Our natural experiments analysis (Appendix A) demonstrates that Germany’s model misfit quantifies the demographic footprint of reunification as a migration shock.</w:t>
      </w:r>
    </w:p>
    <w:p>
      <w:pPr>
        <w:spacing w:before="240" w:after="160"/>
      </w:pPr>
      <w:r>
        <w:rPr>
          <w:i/>
          <w:color w:val="000000"/>
          <w:sz w:val="24"/>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before="240" w:after="240"/>
        <w:jc w:val="center"/>
      </w:pPr>
      <w:r>
        <w:rPr>
          <w:i/>
          <w:sz w:val="24"/>
        </w:rPr>
        <w:t>[Insert Table 5 about here]</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Our five-model comparison reveals why this gap matters. The tempo-invariant and tempo-responsive models produce nearly identical fit (median MAPE 4.5% versus 4.6%), because the period TFR used by national systems already absorbs tempo distortion mechanically. Policymakers never see the tempo channel—they see only a lower TFR and respond with quantum interventions. Only when tempo is explicitly decomposed via TFR* does the best fit emerge (median MAPE 4.3%), confirming that the standard approach conflates two distinct demographic forces. Japan’s National Institute of Population and Social Security Research has revised its long-term projection downward in virtually every round since the 1990s—not because its TFR or e₀ assumptions were wrong, but because the TFR signal conflated quantum and tempo, leading to systematically incorrect policy diagnosis.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four-parameter model is not designed to replace these national projection systems but to complement them by making the tempo–quantum–survival decomposition explicit. The tempo-adjusted model (TFR*) achieves median MAPE of 4.3% against these same populations—performance sufficient to establish the quantitative significance of the tempo channel, even though it cannot match the precision of full-parameterisation national models that include migration (Gonand 2005; Lee and Carter 1992).</w:t>
      </w:r>
    </w:p>
    <w:p>
      <w:pPr>
        <w:spacing w:before="240" w:after="160"/>
      </w:pPr>
      <w:r>
        <w:rPr>
          <w:i/>
          <w:color w:val="000000"/>
          <w:sz w:val="24"/>
        </w:rPr>
        <w:t>5.2 Limitations</w:t>
      </w:r>
    </w:p>
    <w:p>
      <w:pPr>
        <w:spacing w:after="240"/>
      </w:pPr>
      <w:r>
        <w:rPr>
          <w:b w:val="0"/>
          <w:i w:val="0"/>
          <w:sz w:val="24"/>
        </w:rPr>
        <w:t>Several limitations warrant acknowledgement. First, the normal fertility schedule is a simplification; actual ASFRs may be skewed or bimodal (Frejka and Sobotka 2008). Second, our decadal update interval does not match the varying revision cycles of national statistical offices, which update their projections at intervals ranging from two years (Japan’s National Institute of Population and Social Security Research) to five or more years (Eurostat, US Census Bureau). We adopt the 10-year interval as a deliberate analytical choice for two reasons: (a) it approximates the time scale over which major population policy interventions—housing programmes, childcare systems, educational pathway reforms—are designed, implemented, and begin to produce measurable demographic effects (McDonald 2000); and (b) it provides a conservative test of the tempo channel, since more frequent updates would narrow any remaining gap between model variants. That the tempo-adjusted model (TFR*) still achieves measurably better fit (median MAPE 4.3%) despite the conservative decadal interval strengthens the case for explicit tempo decomposition. Third, the Gompertz survival function fits adult mortality well but approximates infant and child mortality less precisely; national projections typically use more flexible models (Wilmoth et al. 2012). Fourth, the decomposition is necessarily model-dependent: the counterfactual ‘MAC frozen at 1970’ is a thought experiment, not a prediction of what would have occurred in the absence of postponement, since MAC changes are endogenous to broader social and economic shifts (Lesthaeghe 2010).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240" w:after="240"/>
        <w:jc w:val="center"/>
      </w:pPr>
      <w:r>
        <w:rPr>
          <w:i/>
          <w:sz w:val="24"/>
        </w:rPr>
        <w:t>[Insert Figure 5 about here]</w:t>
      </w:r>
    </w:p>
    <w:p>
      <w:pPr>
        <w:spacing w:before="360" w:after="240"/>
      </w:pPr>
      <w:r>
        <w:rPr>
          <w:b/>
          <w:color w:val="000000"/>
          <w:sz w:val="24"/>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Five findings emerge.</w:t>
      </w:r>
    </w:p>
    <w:p>
      <w:pPr>
        <w:spacing w:after="240"/>
      </w:pPr>
      <w:r>
        <w:rPr>
          <w:b w:val="0"/>
          <w:i w:val="0"/>
          <w:sz w:val="24"/>
        </w:rPr>
        <w:t>First, the tempo effect is invisible within standard projection frameworks: tempo-invariant and tempo-responsive models yield nearly identical fit (median MAPE 4.5% versus 4.6%), because period TFR absorbs tempo distortion without decomposing it. Policymakers who rely on period TFR cannot distinguish postponement from permanent quantum decline. Second, explicit tempo decomposition via the Bongaarts–Feeney TFR* achieves the best overall fit (median MAPE 4.3%), with the largest improvements in countries experiencing strong postponement (Republic of Korea, China, Colombia). Third, the magnitude of the tempo effect is large: the observed rise in MAC across OECD countries independently reduced SLP by 8–17%, equivalent to 15–40 years of below-replacement fertility. Fourth, tempo is typically the second-largest component of population change in post-transitional countries, comparable in magnitude to quantum in several Central and Eastern European nations. Fifth,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 (Gauthier 2007), the tempo channel deserves systematic attention as a means of managing the pace of demographic transition.</w:t>
      </w:r>
    </w:p>
    <w:p>
      <w:pPr>
        <w:spacing w:before="360" w:after="240"/>
      </w:pPr>
      <w:r>
        <w:rPr>
          <w:b/>
          <w:color w:val="000000"/>
          <w:sz w:val="24"/>
        </w:rPr>
        <w:t>Acknowledgements</w:t>
      </w:r>
    </w:p>
    <w:p>
      <w:pPr>
        <w:spacing w:after="360"/>
      </w:pPr>
      <w:r>
        <w:rPr>
          <w:b w:val="0"/>
          <w:i w:val="0"/>
          <w:sz w:val="24"/>
        </w:rPr>
        <w:t>[Acknowledgements removed for double-blind review]</w:t>
      </w:r>
    </w:p>
    <w:p>
      <w:pPr>
        <w:spacing w:before="360" w:after="240"/>
      </w:pPr>
      <w:r>
        <w:rPr>
          <w:b/>
          <w:color w:val="000000"/>
          <w:sz w:val="24"/>
        </w:rPr>
        <w:t>Disclosure statement</w:t>
      </w:r>
    </w:p>
    <w:p>
      <w:pPr>
        <w:spacing w:after="360"/>
      </w:pPr>
      <w:r>
        <w:rPr>
          <w:b w:val="0"/>
          <w:i w:val="0"/>
          <w:sz w:val="24"/>
        </w:rPr>
        <w:t>The authors report there are no competing interests to declare.</w:t>
      </w:r>
    </w:p>
    <w:p>
      <w:pPr>
        <w:spacing w:before="360" w:after="240"/>
      </w:pPr>
      <w:r>
        <w:rPr>
          <w:b/>
          <w:color w:val="000000"/>
          <w:sz w:val="24"/>
        </w:rPr>
        <w:t>Funding</w:t>
      </w:r>
    </w:p>
    <w:p>
      <w:pPr>
        <w:spacing w:after="360"/>
      </w:pPr>
      <w:r>
        <w:rPr>
          <w:b w:val="0"/>
          <w:i w:val="0"/>
          <w:sz w:val="24"/>
        </w:rPr>
        <w:t>This research received no specific grant from any funding agency in the public, commercial, or not-for-profit sectors.</w:t>
      </w:r>
    </w:p>
    <w:p>
      <w:pPr>
        <w:spacing w:before="360" w:after="240"/>
      </w:pPr>
      <w:r>
        <w:rPr>
          <w:b/>
          <w:color w:val="000000"/>
          <w:sz w:val="24"/>
        </w:rPr>
        <w:t>GATHER compliance statement</w:t>
      </w:r>
    </w:p>
    <w:p>
      <w:pPr>
        <w:spacing w:after="360"/>
      </w:pPr>
      <w:r>
        <w:rPr>
          <w:b w:val="0"/>
          <w:i w:val="0"/>
          <w:sz w:val="24"/>
        </w:rPr>
        <w:t>This study reports population estimates and follows the Guidelines for Accurate and Transparent Health Estimates Reporting (GATHER) (Stevens et al. 2016). All input data are from United Nations World Population Prospects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spacing w:before="360" w:after="240"/>
      </w:pPr>
      <w:r>
        <w:rPr>
          <w:b/>
          <w:color w:val="000000"/>
          <w:sz w:val="24"/>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r>
        <w:br w:type="page"/>
      </w:r>
    </w:p>
    <w:p>
      <w:pPr>
        <w:spacing w:before="360" w:after="240"/>
      </w:pPr>
      <w:r>
        <w:rPr>
          <w:b/>
          <w:color w:val="000000"/>
          <w:sz w:val="24"/>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upheaval? We examine several natural experiments that provide exogenous variation in population size independent of the demographic mechanisms our model captures.</w:t>
      </w:r>
    </w:p>
    <w:p>
      <w:pPr>
        <w:spacing w:before="240" w:after="160"/>
      </w:pPr>
      <w:r>
        <w:rPr>
          <w:i/>
          <w:color w:val="000000"/>
          <w:sz w:val="24"/>
        </w:rPr>
        <w:t>A.1 German reunification (1990)</w:t>
      </w:r>
    </w:p>
    <w:p>
      <w:pPr>
        <w:spacing w:after="120"/>
      </w:pPr>
      <w:r>
        <w:rPr>
          <w:b w:val="0"/>
          <w:i w:val="0"/>
          <w:sz w:val="24"/>
        </w:rPr>
        <w:t>The reunification of Germany in 1990 provides a particularly instructive test case. We construct a synthetic ‘combined Germany’ by summing the East and West German populations from 1970 onward, with a single set of demographic parameters (population-weighted averages of TFR, e₀, MAC). This synthetic series does not account for the massive East-to-West internal migration that followed reunification, nor the large-scale immigration from abroad that Germany experienced from the 1990s onward. Table A1 summarises the component analysis.</w:t>
      </w:r>
    </w:p>
    <w:p>
      <w:pPr>
        <w:spacing w:before="240" w:after="240"/>
        <w:jc w:val="center"/>
      </w:pPr>
      <w:r>
        <w:rPr>
          <w:i/>
          <w:sz w:val="24"/>
        </w:rPr>
        <w:t>[Insert Table A1 about here]</w:t>
      </w:r>
    </w:p>
    <w:p>
      <w:pPr>
        <w:spacing w:after="240"/>
      </w:pPr>
      <w:r>
        <w:rPr>
          <w:b w:val="0"/>
          <w:i w:val="0"/>
          <w:sz w:val="24"/>
        </w:rPr>
        <w:t>The model’s 15.8% overestimate of the combined population in 2023 relative to observed reflects the net immigration Germany received—the model’s ‘error’ directly quantifies the migration component. When we compare East and West Germany separately, the fertility dynamics are striking: East Germany experienced a dramatic post-reunification fertility collapse, with TFR falling to 0.77 in 1994 (Goldstein and Kreyenfeld 2011; Witte and Wagner 1995). This demographic shock was fully driven by quantum (a genuine decline in births) rather than tempo, making it an ideal test of the model’s ability to distinguish between the two channels.</w:t>
      </w:r>
    </w:p>
    <w:p>
      <w:pPr>
        <w:spacing w:before="240" w:after="160"/>
      </w:pPr>
      <w:r>
        <w:rPr>
          <w:i/>
          <w:color w:val="000000"/>
          <w:sz w:val="24"/>
        </w:rPr>
        <w:t>A.2 The Velvet Divorce: Czechia and Slovakia (1993)</w:t>
      </w:r>
    </w:p>
    <w:p>
      <w:pPr>
        <w:spacing w:after="240"/>
      </w:pPr>
      <w:r>
        <w:rPr>
          <w:b w:val="0"/>
          <w:i w:val="0"/>
          <w:sz w:val="24"/>
        </w:rPr>
        <w:t>The peaceful dissolution of Czechoslovakia into Czechia and Slovakia on 1 January 1993 created two independent states with distinct demographic trajectories. Both countries subsequently experienced rapid fertility postponement as they transitioned to market economies, but differed in their migration experiences: Czechia became a net immigration country after EU accession (2004), while Slovakia experienced sustained emigration.</w:t>
      </w:r>
    </w:p>
    <w:p>
      <w:pPr>
        <w:spacing w:before="240" w:after="160"/>
      </w:pPr>
      <w:r>
        <w:rPr>
          <w:i/>
          <w:color w:val="000000"/>
          <w:sz w:val="24"/>
        </w:rPr>
        <w:t>A.3 Yugoslav breakup (1991–2008)</w:t>
      </w:r>
    </w:p>
    <w:p>
      <w:pPr>
        <w:spacing w:after="240"/>
      </w:pPr>
      <w:r>
        <w:rPr>
          <w:b w:val="0"/>
          <w:i w:val="0"/>
          <w:sz w:val="24"/>
        </w:rPr>
        <w:t>The dissolution of Yugoslavia produced seven successor states with vastly different post-conflict demographic trajectories. War, ethnic cleansing, and refugee flows created massive population redistribution that our closed-population model cannot capture. Yet the model performs reasonably for countries where post-conflict migration was moderate.</w:t>
      </w:r>
    </w:p>
    <w:p>
      <w:pPr>
        <w:spacing w:before="240" w:after="160"/>
      </w:pPr>
      <w:r>
        <w:rPr>
          <w:i/>
          <w:color w:val="000000"/>
          <w:sz w:val="24"/>
        </w:rPr>
        <w:t>A.4 Baltic independence and EU accession</w:t>
      </w:r>
    </w:p>
    <w:p>
      <w:pPr>
        <w:spacing w:after="240"/>
      </w:pPr>
      <w:r>
        <w:rPr>
          <w:b w:val="0"/>
          <w:i w:val="0"/>
          <w:sz w:val="24"/>
        </w:rPr>
        <w:t>Estonia, Latvia, and Lithuania experienced two waves of demographic shock: the departure of ethnic Russians following independence (1991), and emigration to Western Europe after EU accession (2004). Our model captures the natural-increase dynamics but cannot account for these migration shocks. The resulting MAPE (Estonia 4.8%, Latvia 6.6%, Lithuania 7.1%) directly quantifies the cumulative migration deficit.</w:t>
      </w:r>
    </w:p>
    <w:p>
      <w:pPr>
        <w:spacing w:before="240" w:after="160"/>
      </w:pPr>
      <w:r>
        <w:rPr>
          <w:i/>
          <w:color w:val="000000"/>
          <w:sz w:val="24"/>
        </w:rPr>
        <w:t>A.5 Eritrean independence (1993)</w:t>
      </w:r>
    </w:p>
    <w:p>
      <w:pPr>
        <w:spacing w:after="240"/>
      </w:pPr>
      <w:r>
        <w:rPr>
          <w:b w:val="0"/>
          <w:i w:val="0"/>
          <w:sz w:val="24"/>
        </w:rPr>
        <w:t>Eritrea’s independence from Ethiopia in 1993 represents an extreme case. The model’s high MAPE for Eritrea (37.8%) reflects the combination of conflict-driven displacement, data uncertainty, and rapid demographic change that is difficult to capture with any simple model.</w:t>
      </w:r>
    </w:p>
    <w:p>
      <w:pPr>
        <w:spacing w:before="240" w:after="160"/>
      </w:pPr>
      <w:r>
        <w:rPr>
          <w:i/>
          <w:color w:val="000000"/>
          <w:sz w:val="24"/>
        </w:rPr>
        <w:t>A.6 Synthesis</w:t>
      </w:r>
    </w:p>
    <w:p>
      <w:pPr>
        <w:spacing w:after="120"/>
      </w:pPr>
      <w:r>
        <w:rPr>
          <w:b w:val="0"/>
          <w:i w:val="0"/>
          <w:sz w:val="24"/>
        </w:rPr>
        <w:t>Table A2 summarises model performance across all natural experiment cases.</w:t>
      </w:r>
    </w:p>
    <w:p>
      <w:pPr>
        <w:spacing w:before="240" w:after="240"/>
        <w:jc w:val="center"/>
      </w:pPr>
      <w:r>
        <w:rPr>
          <w:i/>
          <w:sz w:val="24"/>
        </w:rPr>
        <w:t>[Insert Table A2 about here]</w:t>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p>
      <w:r>
        <w:br w:type="page"/>
      </w:r>
    </w:p>
    <w:p>
      <w:pPr>
        <w:spacing w:before="360" w:after="240"/>
      </w:pPr>
      <w:r>
        <w:rPr>
          <w:b/>
          <w:color w:val="000000"/>
          <w:sz w:val="24"/>
        </w:rPr>
        <w:t>References</w:t>
      </w:r>
    </w:p>
    <w:p>
      <w:pPr>
        <w:spacing w:after="80"/>
        <w:ind w:hanging="720" w:left="720"/>
      </w:pPr>
      <w:r>
        <w:rPr>
          <w:sz w:val="22"/>
        </w:rPr>
        <w:t xml:space="preserve">Bongaarts, John and Griffith Feeney. 1998. On the quantum and tempo of fertility, </w:t>
      </w:r>
      <w:r>
        <w:rPr>
          <w:i/>
          <w:sz w:val="22"/>
        </w:rPr>
        <w:t>Population and Development Review</w:t>
      </w:r>
      <w:r>
        <w:rPr>
          <w:sz w:val="22"/>
        </w:rPr>
        <w:t xml:space="preserve"> 24(2): 271–291.</w:t>
      </w:r>
    </w:p>
    <w:p>
      <w:pPr>
        <w:spacing w:after="80"/>
        <w:ind w:hanging="720" w:left="720"/>
      </w:pPr>
      <w:r>
        <w:rPr>
          <w:sz w:val="22"/>
        </w:rPr>
        <w:t xml:space="preserve">Bongaarts, John and Griffith Feeney. 2006. The quantum and tempo of life-cycle events, </w:t>
      </w:r>
      <w:r>
        <w:rPr>
          <w:i/>
          <w:sz w:val="22"/>
        </w:rPr>
        <w:t>Vienna Yearbook of Population Research</w:t>
      </w:r>
      <w:r>
        <w:rPr>
          <w:sz w:val="22"/>
        </w:rPr>
        <w:t xml:space="preserve"> 4: 115–151.</w:t>
      </w:r>
    </w:p>
    <w:p>
      <w:pPr>
        <w:spacing w:after="80"/>
        <w:ind w:hanging="720" w:left="720"/>
      </w:pPr>
      <w:r>
        <w:rPr>
          <w:sz w:val="22"/>
        </w:rPr>
        <w:t xml:space="preserve">Bongaarts, John and Tomáš Sobotka. 2012. A demographic explanation for the recent rise in European fertility, </w:t>
      </w:r>
      <w:r>
        <w:rPr>
          <w:i/>
          <w:sz w:val="22"/>
        </w:rPr>
        <w:t>Population and Development Review</w:t>
      </w:r>
      <w:r>
        <w:rPr>
          <w:sz w:val="22"/>
        </w:rPr>
        <w:t xml:space="preserve"> 38(1): 83–120.</w:t>
      </w:r>
    </w:p>
    <w:p>
      <w:pPr>
        <w:spacing w:after="80"/>
        <w:ind w:hanging="720" w:left="720"/>
      </w:pPr>
      <w:r>
        <w:rPr>
          <w:sz w:val="22"/>
        </w:rPr>
        <w:t xml:space="preserve">Frejka, Tomáš and Tomáš Sobotka. 2008. Fertility in Europe: Diverse, delayed and below replacement, </w:t>
      </w:r>
      <w:r>
        <w:rPr>
          <w:i/>
          <w:sz w:val="22"/>
        </w:rPr>
        <w:t>Demographic Research</w:t>
      </w:r>
      <w:r>
        <w:rPr>
          <w:sz w:val="22"/>
        </w:rPr>
        <w:t xml:space="preserve"> 19(3): 15–46.</w:t>
      </w:r>
    </w:p>
    <w:p>
      <w:pPr>
        <w:spacing w:after="80"/>
        <w:ind w:hanging="720" w:left="720"/>
      </w:pPr>
      <w:r>
        <w:rPr>
          <w:sz w:val="22"/>
        </w:rPr>
        <w:t xml:space="preserve">Gauthier, Anne H. 2007. The impact of family policies on fertility in industrialized countries, </w:t>
      </w:r>
      <w:r>
        <w:rPr>
          <w:i/>
          <w:sz w:val="22"/>
        </w:rPr>
        <w:t>Population Research and Policy Review</w:t>
      </w:r>
      <w:r>
        <w:rPr>
          <w:sz w:val="22"/>
        </w:rPr>
        <w:t xml:space="preserve"> 26(3): 323–346.</w:t>
      </w:r>
    </w:p>
    <w:p>
      <w:pPr>
        <w:spacing w:after="80"/>
        <w:ind w:hanging="720" w:left="720"/>
      </w:pPr>
      <w:r>
        <w:rPr>
          <w:sz w:val="22"/>
        </w:rPr>
        <w:t xml:space="preserve">Goldstein, Joshua R. and Michaela Kreyenfeld. 2011. Has East Germany overtaken West Germany? Recent trends in order-specific fertility, </w:t>
      </w:r>
      <w:r>
        <w:rPr>
          <w:i/>
          <w:sz w:val="22"/>
        </w:rPr>
        <w:t>Population and Development Review</w:t>
      </w:r>
      <w:r>
        <w:rPr>
          <w:sz w:val="22"/>
        </w:rPr>
        <w:t xml:space="preserve"> 37(3): 453–472.</w:t>
      </w:r>
    </w:p>
    <w:p>
      <w:pPr>
        <w:spacing w:after="80"/>
        <w:ind w:hanging="720" w:left="720"/>
      </w:pPr>
      <w:r>
        <w:rPr>
          <w:sz w:val="22"/>
        </w:rPr>
        <w:t xml:space="preserve">Goldstein, Joshua R., Wolfgang Lutz, and Sergei Scherbov. 2003. Long-term population decline in Europe: The relative importance of tempo effects and generational length, </w:t>
      </w:r>
      <w:r>
        <w:rPr>
          <w:i/>
          <w:sz w:val="22"/>
        </w:rPr>
        <w:t>Population and Development Review</w:t>
      </w:r>
      <w:r>
        <w:rPr>
          <w:sz w:val="22"/>
        </w:rPr>
        <w:t xml:space="preserve"> 29(4): 699–707.</w:t>
      </w:r>
    </w:p>
    <w:p>
      <w:pPr>
        <w:spacing w:after="80"/>
        <w:ind w:hanging="720" w:left="720"/>
      </w:pPr>
      <w:r>
        <w:rPr>
          <w:sz w:val="22"/>
        </w:rPr>
        <w:t xml:space="preserve">Gompertz, Benjamin. 1825. On the nature of the function expressive of the law of human mortality, </w:t>
      </w:r>
      <w:r>
        <w:rPr>
          <w:i/>
          <w:sz w:val="22"/>
        </w:rPr>
        <w:t>Philosophical Transactions of the Royal Society of London</w:t>
      </w:r>
      <w:r>
        <w:rPr>
          <w:sz w:val="22"/>
        </w:rPr>
        <w:t xml:space="preserve"> 115: 513–583.</w:t>
      </w:r>
    </w:p>
    <w:p>
      <w:pPr>
        <w:spacing w:after="80"/>
        <w:ind w:hanging="720" w:left="720"/>
      </w:pPr>
      <w:r>
        <w:rPr>
          <w:sz w:val="22"/>
        </w:rPr>
        <w:t>Gonand, Frédéric. 2005. Assessing the robustness of demographic projections in OECD countries. OECD Economics Department Working Papers No. 464. Paris: OECD Publishing.</w:t>
      </w:r>
    </w:p>
    <w:p>
      <w:pPr>
        <w:spacing w:after="80"/>
        <w:ind w:hanging="720" w:left="720"/>
      </w:pPr>
      <w:r>
        <w:rPr>
          <w:sz w:val="22"/>
        </w:rPr>
        <w:t xml:space="preserve">Keyfitz, Nathan. 1971. On the momentum of population growth, </w:t>
      </w:r>
      <w:r>
        <w:rPr>
          <w:i/>
          <w:sz w:val="22"/>
        </w:rPr>
        <w:t>Demography</w:t>
      </w:r>
      <w:r>
        <w:rPr>
          <w:sz w:val="22"/>
        </w:rPr>
        <w:t xml:space="preserve"> 8(1): 71–80.</w:t>
      </w:r>
    </w:p>
    <w:p>
      <w:pPr>
        <w:spacing w:after="80"/>
        <w:ind w:hanging="720" w:left="720"/>
      </w:pPr>
      <w:r>
        <w:rPr>
          <w:sz w:val="22"/>
        </w:rPr>
        <w:t xml:space="preserve">Kohler, Hans-Peter and José Antonio Ortega. 2002. Tempo-adjusted period parity progression measures, fertility postponement and completed cohort fertility, </w:t>
      </w:r>
      <w:r>
        <w:rPr>
          <w:i/>
          <w:sz w:val="22"/>
        </w:rPr>
        <w:t>Demographic Research</w:t>
      </w:r>
      <w:r>
        <w:rPr>
          <w:sz w:val="22"/>
        </w:rPr>
        <w:t xml:space="preserve"> 6(6): 91–144.</w:t>
      </w:r>
    </w:p>
    <w:p>
      <w:pPr>
        <w:spacing w:after="80"/>
        <w:ind w:hanging="720" w:left="720"/>
      </w:pPr>
      <w:r>
        <w:rPr>
          <w:sz w:val="22"/>
        </w:rPr>
        <w:t xml:space="preserve">Kohler, Hans-Peter, Francesco C. Billari, and José Antonio Ortega. 2002. The emergence of lowest-low fertility in Europe during the 1990s, </w:t>
      </w:r>
      <w:r>
        <w:rPr>
          <w:i/>
          <w:sz w:val="22"/>
        </w:rPr>
        <w:t>Population and Development Review</w:t>
      </w:r>
      <w:r>
        <w:rPr>
          <w:sz w:val="22"/>
        </w:rPr>
        <w:t xml:space="preserve"> 28(4): 641–680.</w:t>
      </w:r>
    </w:p>
    <w:p>
      <w:pPr>
        <w:spacing w:after="80"/>
        <w:ind w:hanging="720" w:left="720"/>
      </w:pPr>
      <w:r>
        <w:rPr>
          <w:sz w:val="22"/>
        </w:rPr>
        <w:t xml:space="preserve">Lee, Ronald D. and Lawrence R. Carter. 1992. Modeling and forecasting U.S. mortality, </w:t>
      </w:r>
      <w:r>
        <w:rPr>
          <w:i/>
          <w:sz w:val="22"/>
        </w:rPr>
        <w:t>Journal of the American Statistical Association</w:t>
      </w:r>
      <w:r>
        <w:rPr>
          <w:sz w:val="22"/>
        </w:rPr>
        <w:t xml:space="preserve"> 87(419): 659–671.</w:t>
      </w:r>
    </w:p>
    <w:p>
      <w:pPr>
        <w:spacing w:after="80"/>
        <w:ind w:hanging="720" w:left="720"/>
      </w:pPr>
      <w:r>
        <w:rPr>
          <w:sz w:val="22"/>
        </w:rPr>
        <w:t xml:space="preserve">Lesthaeghe, Ron. 2010. The unfolding story of the Second Demographic Transition, </w:t>
      </w:r>
      <w:r>
        <w:rPr>
          <w:i/>
          <w:sz w:val="22"/>
        </w:rPr>
        <w:t>Population and Development Review</w:t>
      </w:r>
      <w:r>
        <w:rPr>
          <w:sz w:val="22"/>
        </w:rPr>
        <w:t xml:space="preserve"> 36(2): 211–251.</w:t>
      </w:r>
    </w:p>
    <w:p>
      <w:pPr>
        <w:spacing w:after="80"/>
        <w:ind w:hanging="720" w:left="720"/>
      </w:pPr>
      <w:r>
        <w:rPr>
          <w:sz w:val="22"/>
        </w:rPr>
        <w:t xml:space="preserve">Lutz, Wolfgang, Warren Sanderson, and Sergei Scherbov. 2001. The end of world population growth, </w:t>
      </w:r>
      <w:r>
        <w:rPr>
          <w:i/>
          <w:sz w:val="22"/>
        </w:rPr>
        <w:t>Nature</w:t>
      </w:r>
      <w:r>
        <w:rPr>
          <w:sz w:val="22"/>
        </w:rPr>
        <w:t xml:space="preserve"> 412: 543–545.</w:t>
      </w:r>
    </w:p>
    <w:p>
      <w:pPr>
        <w:spacing w:after="80"/>
        <w:ind w:hanging="720" w:left="720"/>
      </w:pPr>
      <w:r>
        <w:rPr>
          <w:sz w:val="22"/>
        </w:rPr>
        <w:t xml:space="preserve">McDonald, Peter. 2000. Gender equity in theories of fertility transition, </w:t>
      </w:r>
      <w:r>
        <w:rPr>
          <w:i/>
          <w:sz w:val="22"/>
        </w:rPr>
        <w:t>Population and Development Review</w:t>
      </w:r>
      <w:r>
        <w:rPr>
          <w:sz w:val="22"/>
        </w:rPr>
        <w:t xml:space="preserve"> 26(3): 427–439.</w:t>
      </w:r>
    </w:p>
    <w:p>
      <w:pPr>
        <w:spacing w:after="80"/>
        <w:ind w:hanging="720" w:left="720"/>
      </w:pPr>
      <w:r>
        <w:rPr>
          <w:sz w:val="22"/>
        </w:rPr>
        <w:t xml:space="preserve">Myrskylä, Mikko, Hans-Peter Kohler, and Francesco C. Billari. 2009. Advances in development reverse fertility declines, </w:t>
      </w:r>
      <w:r>
        <w:rPr>
          <w:i/>
          <w:sz w:val="22"/>
        </w:rPr>
        <w:t>Nature</w:t>
      </w:r>
      <w:r>
        <w:rPr>
          <w:sz w:val="22"/>
        </w:rPr>
        <w:t xml:space="preserve"> 460: 741–743.</w:t>
      </w:r>
    </w:p>
    <w:p>
      <w:pPr>
        <w:spacing w:after="80"/>
        <w:ind w:hanging="720" w:left="720"/>
      </w:pPr>
      <w:r>
        <w:rPr>
          <w:sz w:val="22"/>
        </w:rPr>
        <w:t xml:space="preserve">Preston, Samuel H., Patrick Heuveline, and Michel Guillot. 2001. </w:t>
      </w:r>
      <w:r>
        <w:rPr>
          <w:i/>
          <w:sz w:val="22"/>
        </w:rPr>
        <w:t>Demography: Measuring and Modeling Population Processes</w:t>
      </w:r>
      <w:r>
        <w:rPr>
          <w:sz w:val="22"/>
        </w:rPr>
        <w:t>. Oxford: Blackwell.</w:t>
      </w:r>
    </w:p>
    <w:p>
      <w:pPr>
        <w:spacing w:after="80"/>
        <w:ind w:hanging="720" w:left="720"/>
      </w:pPr>
      <w:r>
        <w:rPr>
          <w:sz w:val="22"/>
        </w:rPr>
        <w:t xml:space="preserve">Ryder, Norman B. 1964. The process of demographic translation, </w:t>
      </w:r>
      <w:r>
        <w:rPr>
          <w:i/>
          <w:sz w:val="22"/>
        </w:rPr>
        <w:t>Demography</w:t>
      </w:r>
      <w:r>
        <w:rPr>
          <w:sz w:val="22"/>
        </w:rPr>
        <w:t xml:space="preserve"> 1(1): 74–82.</w:t>
      </w:r>
    </w:p>
    <w:p>
      <w:pPr>
        <w:spacing w:after="80"/>
        <w:ind w:hanging="720" w:left="720"/>
      </w:pPr>
      <w:r>
        <w:rPr>
          <w:sz w:val="22"/>
        </w:rPr>
        <w:t xml:space="preserve">Sobotka, Tomáš. 2004. Is lowest-low fertility in Europe explained by the postponement of childbearing?, </w:t>
      </w:r>
      <w:r>
        <w:rPr>
          <w:i/>
          <w:sz w:val="22"/>
        </w:rPr>
        <w:t>Population and Development Review</w:t>
      </w:r>
      <w:r>
        <w:rPr>
          <w:sz w:val="22"/>
        </w:rPr>
        <w:t xml:space="preserve"> 30(2): 195–220.</w:t>
      </w:r>
    </w:p>
    <w:p>
      <w:pPr>
        <w:spacing w:after="80"/>
        <w:ind w:hanging="720" w:left="720"/>
      </w:pPr>
      <w:r>
        <w:rPr>
          <w:sz w:val="22"/>
        </w:rPr>
        <w:t xml:space="preserve">Stevens, Gretchen A., Leontine Alkema, Robert E. Black, et al. 2016. Guidelines for Accurate and Transparent Health Estimates Reporting: The GATHER statement, </w:t>
      </w:r>
      <w:r>
        <w:rPr>
          <w:i/>
          <w:sz w:val="22"/>
        </w:rPr>
        <w:t>The Lancet</w:t>
      </w:r>
      <w:r>
        <w:rPr>
          <w:sz w:val="22"/>
        </w:rPr>
        <w:t xml:space="preserve"> 388(10062): e19–e23.</w:t>
      </w:r>
    </w:p>
    <w:p>
      <w:pPr>
        <w:spacing w:after="80"/>
        <w:ind w:hanging="720" w:left="720"/>
      </w:pPr>
      <w:r>
        <w:rPr>
          <w:sz w:val="22"/>
        </w:rPr>
        <w:t xml:space="preserve">Thévenon, Olivier. 2011. Family policies in OECD countries: A comparative analysis, </w:t>
      </w:r>
      <w:r>
        <w:rPr>
          <w:i/>
          <w:sz w:val="22"/>
        </w:rPr>
        <w:t>Population and Development Review</w:t>
      </w:r>
      <w:r>
        <w:rPr>
          <w:sz w:val="22"/>
        </w:rPr>
        <w:t xml:space="preserve"> 37(1): 57–87.</w:t>
      </w:r>
    </w:p>
    <w:p>
      <w:pPr>
        <w:spacing w:after="80"/>
        <w:ind w:hanging="720" w:left="720"/>
      </w:pPr>
      <w:r>
        <w:rPr>
          <w:sz w:val="22"/>
        </w:rPr>
        <w:t xml:space="preserve">United Nations, Department of Economic and Social Affairs, Population Division. 2024. </w:t>
      </w:r>
      <w:r>
        <w:rPr>
          <w:i/>
          <w:sz w:val="22"/>
        </w:rPr>
        <w:t>World Population Prospects 2024</w:t>
      </w:r>
      <w:r>
        <w:rPr>
          <w:sz w:val="22"/>
        </w:rPr>
        <w:t>. New York: United Nations.</w:t>
      </w:r>
    </w:p>
    <w:p>
      <w:pPr>
        <w:spacing w:after="80"/>
        <w:ind w:hanging="720" w:left="720"/>
      </w:pPr>
      <w:r>
        <w:rPr>
          <w:sz w:val="22"/>
        </w:rPr>
        <w:t xml:space="preserve">Wilmoth, John R., Sarah Zureick, Vladimir Canudas-Romo, Mie Inoue, and Claudia Sawyer. 2012. A flexible two-dimensional mortality model for use in indirect estimation, </w:t>
      </w:r>
      <w:r>
        <w:rPr>
          <w:i/>
          <w:sz w:val="22"/>
        </w:rPr>
        <w:t>Population Studies</w:t>
      </w:r>
      <w:r>
        <w:rPr>
          <w:sz w:val="22"/>
        </w:rPr>
        <w:t xml:space="preserve"> 66(1): 1–28.</w:t>
      </w:r>
    </w:p>
    <w:p>
      <w:pPr>
        <w:spacing w:after="80"/>
        <w:ind w:hanging="720" w:left="720"/>
      </w:pPr>
      <w:r>
        <w:rPr>
          <w:sz w:val="22"/>
        </w:rPr>
        <w:t xml:space="preserve">Witte, James C. and Gert G. Wagner. 1995. Declining fertility in East Germany after unification, </w:t>
      </w:r>
      <w:r>
        <w:rPr>
          <w:i/>
          <w:sz w:val="22"/>
        </w:rPr>
        <w:t>Population and Development Review</w:t>
      </w:r>
      <w:r>
        <w:rPr>
          <w:sz w:val="22"/>
        </w:rPr>
        <w:t xml:space="preserve"> 21(2): 387–397.</w:t>
      </w:r>
    </w:p>
    <w:p>
      <w:r>
        <w:br w:type="page"/>
      </w:r>
    </w:p>
    <w:p>
      <w:pPr>
        <w:spacing w:after="80"/>
      </w:pPr>
      <w:r>
        <w:rPr>
          <w:b w:val="0"/>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r>
        <w:br w:type="page"/>
      </w:r>
    </w:p>
    <w:p>
      <w:pPr>
        <w:spacing w:after="80"/>
      </w:pPr>
      <w:r>
        <w:rPr>
          <w:b w:val="0"/>
          <w:i w:val="0"/>
          <w:sz w:val="22"/>
        </w:rPr>
        <w:t>Table 2: Model performance across 40 countries — five-model comparison</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w:t>
              <w:br/>
              <w:t>(mean ± SD)</w:t>
            </w:r>
          </w:p>
        </w:tc>
      </w:tr>
      <w:tr>
        <w:tc>
          <w:tcPr>
            <w:tcW w:type="dxa" w:w="1560"/>
          </w:tcPr>
          <w:p>
            <w:r>
              <w:t>Fixed-parameter (1970)</w:t>
            </w:r>
          </w:p>
        </w:tc>
        <w:tc>
          <w:tcPr>
            <w:tcW w:type="dxa" w:w="1560"/>
          </w:tcPr>
          <w:p>
            <w:r>
              <w:t>53</w:t>
            </w:r>
          </w:p>
        </w:tc>
        <w:tc>
          <w:tcPr>
            <w:tcW w:type="dxa" w:w="1560"/>
          </w:tcPr>
          <w:p>
            <w:r>
              <w:t>40</w:t>
            </w:r>
          </w:p>
        </w:tc>
        <w:tc>
          <w:tcPr>
            <w:tcW w:type="dxa" w:w="1560"/>
          </w:tcPr>
          <w:p>
            <w:r>
              <w:t>13.7</w:t>
            </w:r>
          </w:p>
        </w:tc>
        <w:tc>
          <w:tcPr>
            <w:tcW w:type="dxa" w:w="1560"/>
          </w:tcPr>
          <w:p>
            <w:r>
              <w:t>7.7</w:t>
            </w:r>
          </w:p>
        </w:tc>
        <w:tc>
          <w:tcPr>
            <w:tcW w:type="dxa" w:w="1560"/>
          </w:tcPr>
          <w:p>
            <w:r>
              <w:t>1.309 ± 0.554</w:t>
            </w:r>
          </w:p>
        </w:tc>
      </w:tr>
      <w:tr>
        <w:tc>
          <w:tcPr>
            <w:tcW w:type="dxa" w:w="1560"/>
          </w:tcPr>
          <w:p>
            <w:r>
              <w:t>Fixed-parameter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Fixed-parameter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Fixed-parameter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Tempo-invariant (10-yr)</w:t>
            </w:r>
          </w:p>
        </w:tc>
        <w:tc>
          <w:tcPr>
            <w:tcW w:type="dxa" w:w="1560"/>
          </w:tcPr>
          <w:p>
            <w:r>
              <w:t>53</w:t>
            </w:r>
          </w:p>
        </w:tc>
        <w:tc>
          <w:tcPr>
            <w:tcW w:type="dxa" w:w="1560"/>
          </w:tcPr>
          <w:p>
            <w:r>
              <w:t>40</w:t>
            </w:r>
          </w:p>
        </w:tc>
        <w:tc>
          <w:tcPr>
            <w:tcW w:type="dxa" w:w="1560"/>
          </w:tcPr>
          <w:p>
            <w:r>
              <w:t>6.5</w:t>
            </w:r>
          </w:p>
        </w:tc>
        <w:tc>
          <w:tcPr>
            <w:tcW w:type="dxa" w:w="1560"/>
          </w:tcPr>
          <w:p>
            <w:r>
              <w:t>4.5</w:t>
            </w:r>
          </w:p>
        </w:tc>
        <w:tc>
          <w:tcPr>
            <w:tcW w:type="dxa" w:w="1560"/>
          </w:tcPr>
          <w:p>
            <w:r>
              <w:t>0.991 ± 0.182</w:t>
            </w:r>
          </w:p>
        </w:tc>
      </w:tr>
      <w:tr>
        <w:tc>
          <w:tcPr>
            <w:tcW w:type="dxa" w:w="1560"/>
          </w:tcPr>
          <w:p>
            <w:r>
              <w:t>Tempo-responsive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r>
        <w:tc>
          <w:tcPr>
            <w:tcW w:type="dxa" w:w="1560"/>
          </w:tcPr>
          <w:p>
            <w:r>
              <w:t>Tempo-adjusted [TFR*]</w:t>
              <w:br/>
              <w:t>(10-yr)</w:t>
            </w:r>
          </w:p>
        </w:tc>
        <w:tc>
          <w:tcPr>
            <w:tcW w:type="dxa" w:w="1560"/>
          </w:tcPr>
          <w:p>
            <w:r>
              <w:t>53</w:t>
            </w:r>
          </w:p>
        </w:tc>
        <w:tc>
          <w:tcPr>
            <w:tcW w:type="dxa" w:w="1560"/>
          </w:tcPr>
          <w:p>
            <w:r>
              <w:t>40</w:t>
            </w:r>
          </w:p>
        </w:tc>
        <w:tc>
          <w:tcPr>
            <w:tcW w:type="dxa" w:w="1560"/>
          </w:tcPr>
          <w:p>
            <w:r>
              <w:t>5.8</w:t>
            </w:r>
          </w:p>
        </w:tc>
        <w:tc>
          <w:tcPr>
            <w:tcW w:type="dxa" w:w="1560"/>
          </w:tcPr>
          <w:p>
            <w:r>
              <w:t>4.3</w:t>
            </w:r>
          </w:p>
        </w:tc>
        <w:tc>
          <w:tcPr>
            <w:tcW w:type="dxa" w:w="1560"/>
          </w:tcPr>
          <w:p>
            <w:r>
              <w:t>1.014 ± 0.166</w:t>
            </w:r>
          </w:p>
        </w:tc>
      </w:tr>
    </w:tbl>
    <w:p>
      <w:pPr>
        <w:spacing w:after="80"/>
      </w:pPr>
      <w:r>
        <w:rPr>
          <w:b w:val="0"/>
          <w:i w:val="0"/>
          <w:sz w:val="12"/>
        </w:rPr>
      </w:r>
    </w:p>
    <w:p>
      <w:pPr>
        <w:spacing w:after="120"/>
      </w:pPr>
      <w:r>
        <w:rPr>
          <w:b w:val="0"/>
          <w:i/>
          <w:sz w:val="18"/>
        </w:rPr>
        <w:t>Note: All decadally-updated models run 1970–2023 with parameters refreshed every 10 years. TFR* = TFR / (1 − dMAC/dt) (Bongaarts and Feeney 1998). Final ratio = model population / observed population in 2023.</w:t>
      </w:r>
    </w:p>
    <w:p>
      <w:r>
        <w:br w:type="page"/>
      </w:r>
    </w:p>
    <w:p>
      <w:pPr>
        <w:spacing w:after="80"/>
      </w:pPr>
      <w:r>
        <w:rPr>
          <w:b w:val="0"/>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United Kingdom</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r>
        <w:br w:type="page"/>
      </w:r>
    </w:p>
    <w:p>
      <w:pPr>
        <w:spacing w:after="80"/>
      </w:pPr>
      <w:r>
        <w:rPr>
          <w:b w:val="0"/>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r>
        <w:br w:type="page"/>
      </w:r>
    </w:p>
    <w:p>
      <w:pPr>
        <w:spacing w:after="80"/>
      </w:pPr>
      <w:r>
        <w:rPr>
          <w:b w:val="0"/>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w:t>
              <w:br/>
              <w:t>(IPSS)</w:t>
            </w:r>
          </w:p>
        </w:tc>
        <w:tc>
          <w:tcPr>
            <w:tcW w:type="dxa" w:w="1872"/>
          </w:tcPr>
          <w:p>
            <w:r>
              <w:t>Cohort-component;</w:t>
              <w:br/>
              <w:t>3×3 variants</w:t>
            </w:r>
          </w:p>
        </w:tc>
        <w:tc>
          <w:tcPr>
            <w:tcW w:type="dxa" w:w="1872"/>
          </w:tcPr>
          <w:p>
            <w:r>
              <w:t>Cohort fertility model;</w:t>
              <w:br/>
              <w:t>MAC = 32.8</w:t>
            </w:r>
          </w:p>
        </w:tc>
        <w:tc>
          <w:tcPr>
            <w:tcW w:type="dxa" w:w="1872"/>
          </w:tcPr>
          <w:p>
            <w:r>
              <w:t>Lee–Carter;</w:t>
              <w:br/>
              <w:t>e₀ = 85.9/91.8</w:t>
            </w:r>
          </w:p>
        </w:tc>
        <w:tc>
          <w:tcPr>
            <w:tcW w:type="dxa" w:w="1872"/>
          </w:tcPr>
          <w:p>
            <w:r>
              <w:t>No</w:t>
            </w:r>
          </w:p>
        </w:tc>
      </w:tr>
      <w:tr>
        <w:tc>
          <w:tcPr>
            <w:tcW w:type="dxa" w:w="1872"/>
          </w:tcPr>
          <w:p>
            <w:r>
              <w:t>USA</w:t>
              <w:br/>
              <w:t>(Census Bureau)</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United Kingdom</w:t>
              <w:br/>
              <w:t>(ONS)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w:t>
              <w:br/>
              <w:t>(ISTAT)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(Statistics Canada)</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w:t>
              <w:br/>
              <w:t>(NBS)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National Institute of Population and Social Security Research, Japan (2023), US Census Bureau (2023), Federal Statistical Office of Germany (2025), Office for National Statistics, United Kingdom (2025), National Institute of Statistics and Economic Studies, France (2021), Statistics Korea (2023), National Institute of Statistics, Italy (2023), Australian Bureau of Statistics (2018), Statistics Canada (2024), Eurostat (2024), National Population Council, Mexico (2018), Turkish Statistical Institute (2023).</w:t>
      </w:r>
    </w:p>
    <w:p>
      <w:r>
        <w:br w:type="page"/>
      </w:r>
    </w:p>
    <w:p>
      <w:pPr>
        <w:spacing w:after="80"/>
      </w:pPr>
      <w:r>
        <w:rPr>
          <w:b w:val="0"/>
          <w:i w:val="0"/>
          <w:sz w:val="22"/>
        </w:rPr>
        <w:t>Table A1: German reunification — model components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Component</w:t>
            </w:r>
          </w:p>
        </w:tc>
        <w:tc>
          <w:tcPr>
            <w:tcW w:type="dxa" w:w="2340"/>
          </w:tcPr>
          <w:p>
            <w:r>
              <w:t>Population 1970</w:t>
              <w:br/>
              <w:t>(millions)</w:t>
            </w:r>
          </w:p>
        </w:tc>
        <w:tc>
          <w:tcPr>
            <w:tcW w:type="dxa" w:w="2340"/>
          </w:tcPr>
          <w:p>
            <w:r>
              <w:t>Population 2023</w:t>
              <w:br/>
              <w:t>(millions)</w:t>
            </w:r>
          </w:p>
        </w:tc>
        <w:tc>
          <w:tcPr>
            <w:tcW w:type="dxa" w:w="2340"/>
          </w:tcPr>
          <w:p>
            <w:r>
              <w:t>Change (%)</w:t>
            </w:r>
          </w:p>
        </w:tc>
      </w:tr>
      <w:tr>
        <w:tc>
          <w:tcPr>
            <w:tcW w:type="dxa" w:w="2340"/>
          </w:tcPr>
          <w:p>
            <w:r>
              <w:t>West Germany (model)</w:t>
            </w:r>
          </w:p>
        </w:tc>
        <w:tc>
          <w:tcPr>
            <w:tcW w:type="dxa" w:w="2340"/>
          </w:tcPr>
          <w:p>
            <w:r>
              <w:t>60.7</w:t>
            </w:r>
          </w:p>
        </w:tc>
        <w:tc>
          <w:tcPr>
            <w:tcW w:type="dxa" w:w="2340"/>
          </w:tcPr>
          <w:p>
            <w:r>
              <w:t>56.4</w:t>
            </w:r>
          </w:p>
        </w:tc>
        <w:tc>
          <w:tcPr>
            <w:tcW w:type="dxa" w:w="2340"/>
          </w:tcPr>
          <w:p>
            <w:r>
              <w:t>−7.1</w:t>
            </w:r>
          </w:p>
        </w:tc>
      </w:tr>
      <w:tr>
        <w:tc>
          <w:tcPr>
            <w:tcW w:type="dxa" w:w="2340"/>
          </w:tcPr>
          <w:p>
            <w:r>
              <w:t>East Germany (model)</w:t>
            </w:r>
          </w:p>
        </w:tc>
        <w:tc>
          <w:tcPr>
            <w:tcW w:type="dxa" w:w="2340"/>
          </w:tcPr>
          <w:p>
            <w:r>
              <w:t>17.1</w:t>
            </w:r>
          </w:p>
        </w:tc>
        <w:tc>
          <w:tcPr>
            <w:tcW w:type="dxa" w:w="2340"/>
          </w:tcPr>
          <w:p>
            <w:r>
              <w:t>12.8</w:t>
            </w:r>
          </w:p>
        </w:tc>
        <w:tc>
          <w:tcPr>
            <w:tcW w:type="dxa" w:w="2340"/>
          </w:tcPr>
          <w:p>
            <w:r>
              <w:t>−25.1</w:t>
            </w:r>
          </w:p>
        </w:tc>
      </w:tr>
      <w:tr>
        <w:tc>
          <w:tcPr>
            <w:tcW w:type="dxa" w:w="2340"/>
          </w:tcPr>
          <w:p>
            <w:r>
              <w:t>Combined (model)</w:t>
            </w:r>
          </w:p>
        </w:tc>
        <w:tc>
          <w:tcPr>
            <w:tcW w:type="dxa" w:w="2340"/>
          </w:tcPr>
          <w:p>
            <w:r>
              <w:t>77.8</w:t>
            </w:r>
          </w:p>
        </w:tc>
        <w:tc>
          <w:tcPr>
            <w:tcW w:type="dxa" w:w="2340"/>
          </w:tcPr>
          <w:p>
            <w:r>
              <w:t>69.2</w:t>
            </w:r>
          </w:p>
        </w:tc>
        <w:tc>
          <w:tcPr>
            <w:tcW w:type="dxa" w:w="2340"/>
          </w:tcPr>
          <w:p>
            <w:r>
              <w:t>−11.1</w:t>
            </w:r>
          </w:p>
        </w:tc>
      </w:tr>
      <w:tr>
        <w:tc>
          <w:tcPr>
            <w:tcW w:type="dxa" w:w="2340"/>
          </w:tcPr>
          <w:p>
            <w:r>
              <w:t>Germany (observed)</w:t>
            </w:r>
          </w:p>
        </w:tc>
        <w:tc>
          <w:tcPr>
            <w:tcW w:type="dxa" w:w="2340"/>
          </w:tcPr>
          <w:p>
            <w:r>
              <w:t>78.2</w:t>
            </w:r>
          </w:p>
        </w:tc>
        <w:tc>
          <w:tcPr>
            <w:tcW w:type="dxa" w:w="2340"/>
          </w:tcPr>
          <w:p>
            <w:r>
              <w:t>84.5</w:t>
            </w:r>
          </w:p>
        </w:tc>
        <w:tc>
          <w:tcPr>
            <w:tcW w:type="dxa" w:w="2340"/>
          </w:tcPr>
          <w:p>
            <w:r>
              <w:t>+8.1</w:t>
            </w:r>
          </w:p>
        </w:tc>
      </w:tr>
    </w:tbl>
    <w:p>
      <w:pPr>
        <w:spacing w:after="80"/>
      </w:pPr>
      <w:r>
        <w:rPr>
          <w:b w:val="0"/>
          <w:i w:val="0"/>
          <w:sz w:val="12"/>
        </w:rPr>
      </w:r>
    </w:p>
    <w:p>
      <w:pPr>
        <w:spacing w:after="240"/>
      </w:pPr>
      <w:r>
        <w:rPr>
          <w:b w:val="0"/>
          <w:i/>
          <w:sz w:val="18"/>
        </w:rPr>
        <w:t>Note: Model excludes migration. The 15.8 percentage-point gap between model and observed reflects cumulative net immigration since 1970.</w:t>
      </w:r>
    </w:p>
    <w:p>
      <w:r>
        <w:br w:type="page"/>
      </w:r>
    </w:p>
    <w:p>
      <w:pPr>
        <w:spacing w:after="80"/>
      </w:pPr>
      <w:r>
        <w:rPr>
          <w:b w:val="0"/>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r>
        <w:br w:type="page"/>
      </w:r>
    </w:p>
    <w:p>
      <w:pPr>
        <w:spacing w:before="360" w:after="240"/>
      </w:pPr>
      <w:r>
        <w:rPr>
          <w:b/>
          <w:color w:val="000000"/>
          <w:sz w:val="24"/>
        </w:rPr>
        <w:t>Figure titles</w:t>
      </w:r>
    </w:p>
    <w:p>
      <w:pPr>
        <w:spacing w:after="240"/>
      </w:pPr>
      <w:r>
        <w:rPr>
          <w:b w:val="0"/>
          <w:i w:val="0"/>
          <w:sz w:val="22"/>
        </w:rPr>
        <w:t>Figure 1: Five model variants versus observed population trajectories for six representative countries, 1970–2023.</w:t>
        <w:br/>
        <w:t>Note: Observed = black solid (UN WPP 2024); Tempo-responsive = blue solid; Tempo-invariant = orange dashed; Tempo-adjusted (TFR*) = green dash-dot; Fixed-parameter (1970) = red dotted.</w:t>
      </w:r>
    </w:p>
    <w:p>
      <w:pPr>
        <w:spacing w:after="240"/>
      </w:pPr>
      <w:r>
        <w:rPr>
          <w:b w:val="0"/>
          <w:i w:val="0"/>
          <w:sz w:val="22"/>
        </w:rPr>
        <w:t>Figure 2: Five-model validation across all 40 countries.</w:t>
        <w:br/>
        <w:t>Note: Observed = black; Tempo-responsive = blue; Tempo-invariant = orange dashed; Tempo-adjusted (TFR*) = green dash-dot; Fixed-parameter = red dotted. Tempo-responsive MAPE shown in upper-right corner. Countries sorted alphabetically.</w:t>
      </w:r>
    </w:p>
    <w:p>
      <w:pPr>
        <w:spacing w:after="240"/>
      </w:pPr>
      <w:r>
        <w:rPr>
          <w:b w:val="0"/>
          <w:i w:val="0"/>
          <w:sz w:val="22"/>
        </w:rPr>
        <w:t>Figure 3: Fixed-parameter model MAPE (%) by country and base year.</w:t>
        <w:br/>
        <w:t>Note: Greener cells indicate better fit; redder cells indicate poorer fit. Scale capped at 30%. Longer projection horizons show greater misfit, reflecting accumulating demographic change unaccounted for by fixed parameters.</w:t>
      </w:r>
    </w:p>
    <w:p>
      <w:pPr>
        <w:spacing w:after="240"/>
      </w:pPr>
      <w:r>
        <w:rPr>
          <w:b w:val="0"/>
          <w:i w:val="0"/>
          <w:sz w:val="22"/>
        </w:rPr>
        <w:t>Figure 4: Four-model comparison—MAPE and final population ratio by country.</w:t>
        <w:br/>
        <w:t>Note: Left panel: MAPE by country for fixed-parameter (red), tempo-invariant (orange), tempo-responsive (blue), and tempo-adjusted TFR* (green). Right panel: final population ratio (model/observed in 2023). The tempo-adjusted model (TFR*) achieves the best overall fit, particularly in countries with strong postponement.</w:t>
      </w:r>
    </w:p>
    <w:p>
      <w:pPr>
        <w:spacing w:after="240"/>
      </w:pPr>
      <w:r>
        <w:rPr>
          <w:b w:val="0"/>
          <w:i w:val="0"/>
          <w:sz w:val="22"/>
        </w:rPr>
        <w:t>Figure 5: Model bias analysis using base year 2000.</w:t>
        <w:br/>
        <w:t>Note: (a) Fit versus TFR; (b) fit versus life expectancy; (c) bias versus MAC. No systematic relationship is observed.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