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line="360" w:lineRule="auto" w:after="120"/>
      </w:pPr>
      <w:r>
        <w:t>Hotter-than-normal days raise same-day US traffic-crash mortality.</w:t>
      </w:r>
    </w:p>
    <w:p>
      <w:pPr>
        <w:pStyle w:val="ListBullet"/>
        <w:spacing w:line="360" w:lineRule="auto" w:after="120"/>
      </w:pPr>
      <w:r>
        <w:t>The excess is comparable in magnitude to all recorded direct-heat deaths.</w:t>
      </w:r>
    </w:p>
    <w:p>
      <w:pPr>
        <w:pStyle w:val="ListBullet"/>
        <w:spacing w:line="360" w:lineRule="auto" w:after="120"/>
      </w:pPr>
      <w:r>
        <w:t>Open-air road users show the largest heat-attributable excess risk.</w:t>
      </w:r>
    </w:p>
    <w:p>
      <w:pPr>
        <w:pStyle w:val="ListBullet"/>
        <w:spacing w:line="360" w:lineRule="auto" w:after="120"/>
      </w:pPr>
      <w:r>
        <w:t>Uniform +1 to +3 °C warming would add hundreds of deaths per year.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