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June 18, 2026</w:t>
      </w:r>
    </w:p>
    <w:p/>
    <w:p>
      <w:r>
        <w:t>Editor-in-Chief</w:t>
      </w:r>
    </w:p>
    <w:p>
      <w:r>
        <w:t>Environmental Health and Preventive Medicine</w:t>
      </w:r>
    </w:p>
    <w:p/>
    <w:p>
      <w:r>
        <w:t>Re: Ms. No. EHPM-D-26-00106</w:t>
      </w:r>
    </w:p>
    <w:p>
      <w:r>
        <w:t>"Evaluating Healthcare Expenditure Sustainability in Japan: A Dual-Return Framework Integrating Input-Output Multipliers, Health-Capital Tempo, and Diagnostic Equipment Stock with Cross-Country Benchmarking"</w:t>
      </w:r>
    </w:p>
    <w:p/>
    <w:p>
      <w:r>
        <w:t>Dear Professor Harada,</w:t>
      </w:r>
    </w:p>
    <w:p/>
    <w:p>
      <w:r>
        <w:t>Thank you for the opportunity to revise our manuscript. We are grateful to both reviewers for their thorough and constructive comments, which have substantially strengthened the paper. Below we provide a point-by-point response to each comment. Reviewer comments are shown in italics, followed by our response. All changes are clearly indicated in the revised manuscript.</w:t>
      </w:r>
    </w:p>
    <w:p/>
    <w:p>
      <w:pPr>
        <w:pStyle w:val="Heading1"/>
      </w:pPr>
      <w:r>
        <w:t>Response to Reviewer 1</w:t>
      </w:r>
    </w:p>
    <w:p>
      <w:r>
        <w:rPr>
          <w:b/>
        </w:rPr>
        <w:t xml:space="preserve">Comment 1: </w:t>
      </w:r>
      <w:r>
        <w:rPr>
          <w:i/>
        </w:rPr>
        <w:t>The indicator Fiscal Return Ratio = (τ × m) / pf requires a much stronger economic justification. The I-O multiplier m captures induced total output, not value added (GDP). The interpretation implicitly assumes zero opportunity cost.</w:t>
      </w:r>
    </w:p>
    <w:p/>
    <w:p>
      <w:r>
        <w:rPr>
          <w:b/>
        </w:rPr>
        <w:t xml:space="preserve">Response: </w:t>
      </w:r>
      <w:r>
        <w:t>We thank the reviewer for this fundamental observation. We have made three changes: (1) The Methods section now explicitly states that the multipliers are OUTPUT multipliers and that multiplying by the effective tax rate (tax/GDP) conflates output and value added. (2) We now present results using both output multipliers (upper bound) and approximate value-added multipliers (lower bound). With VA multipliers, no country exceeds 1.0, and Japan falls to 0.60. Table 2 reports both. (3) We add an explicit caveat about opportunity costs (crowding out) in an economy near full employment. The conclusions have been substantially toned down to reflect that the true fiscal return lies between the output and VA bounds.</w:t>
      </w:r>
    </w:p>
    <w:p/>
    <w:p>
      <w:r>
        <w:rPr>
          <w:b/>
        </w:rPr>
        <w:t xml:space="preserve">Comment 2: </w:t>
      </w:r>
      <w:r>
        <w:rPr>
          <w:i/>
        </w:rPr>
        <w:t>Table 1 multipliers differ in estimation year, method, and scope. The US value is 'Medicare only' (1.70), not comparable to whole-sector multipliers.</w:t>
      </w:r>
    </w:p>
    <w:p/>
    <w:p>
      <w:r>
        <w:rPr>
          <w:b/>
        </w:rPr>
        <w:t xml:space="preserve">Response: </w:t>
      </w:r>
      <w:r>
        <w:t>We agree. Table 1 now includes a note explicitly stating that the US estimate is Medicare-only (Dupor &amp; Guerrero 2021). The text acknowledges that multipliers differ in estimation year (2006-2017) and method, limiting strict cross-country comparison. We have not attempted to 'correct' the US multiplier because no whole-sector US I-O study with comparable methodology was available; instead, we flag this limitation prominently.</w:t>
      </w:r>
    </w:p>
    <w:p/>
    <w:p>
      <w:r>
        <w:rPr>
          <w:b/>
        </w:rPr>
        <w:t xml:space="preserve">Comment 3: </w:t>
      </w:r>
      <w:r>
        <w:rPr>
          <w:i/>
        </w:rPr>
        <w:t>The tempo model rests entirely on unpublished working papers (references 18 and 19). Key specification and results should be presented self-contained, or a preprint should be made publicly available.</w:t>
      </w:r>
    </w:p>
    <w:p/>
    <w:p>
      <w:r>
        <w:rPr>
          <w:b/>
        </w:rPr>
        <w:t xml:space="preserve">Response: </w:t>
      </w:r>
      <w:r>
        <w:t>Both companion papers are now publicly available on GitHub (references 18 and 19 updated with URLs). Additionally, we have added a new subsection 'Tempo model specification' in Methods that presents the key specification self-contained: the dependent variable (life expectancy), estimation method (nonlinear least squares with grid search), point estimates (μ_H0 = 3.2 years, SE = 0.8; μ_H1 = +0.15 yr/yr, SE = 0.04), and the number of parameters for each model variant.</w:t>
      </w:r>
    </w:p>
    <w:p/>
    <w:p>
      <w:r>
        <w:rPr>
          <w:b/>
        </w:rPr>
        <w:t xml:space="preserve">Comment 4: </w:t>
      </w:r>
      <w:r>
        <w:rPr>
          <w:i/>
        </w:rPr>
        <w:t>The criteria used to guard against overfitting are applied asymmetrically. The Preston-curve test uses AIC, BIC, and LOOCV RMSE, but Table 3 reports only level RMSE and change RMSE. Report LOOCV RMSE, AIC, and BIC for all M0/M1/M2.</w:t>
      </w:r>
    </w:p>
    <w:p/>
    <w:p>
      <w:r>
        <w:rPr>
          <w:b/>
        </w:rPr>
        <w:t xml:space="preserve">Response: </w:t>
      </w:r>
      <w:r>
        <w:t>We fully agree that symmetric application of model selection criteria is essential. Table 3 now reports LOOCV RMSE, AIC, and BIC for all three models in addition to level and change RMSE. The results are revealing: M1 substantially outperforms M0 on ALL criteria, confirming the existence of a spending-to-outcome lag. However, M2 shows only marginal improvement over M1, and this improvement does NOT survive BIC penalization (M2 preferred in only 41% of countries by BIC). We have revised the interpretation accordingly, characterizing the tempo drift as 'suggestive rather than definitive.' The conclusions have been toned down.</w:t>
      </w:r>
    </w:p>
    <w:p/>
    <w:p>
      <w:r>
        <w:rPr>
          <w:b/>
        </w:rPr>
        <w:t xml:space="preserve">Comment 5: </w:t>
      </w:r>
      <w:r>
        <w:rPr>
          <w:i/>
        </w:rPr>
        <w:t>The 15% equipment-related spending assumption directly drives the headline result. Sensitivity analysis is essential; at 10%, the ratio would likely not fall below 1.0.</w:t>
      </w:r>
    </w:p>
    <w:p/>
    <w:p>
      <w:r>
        <w:rPr>
          <w:b/>
        </w:rPr>
        <w:t xml:space="preserve">Response: </w:t>
      </w:r>
      <w:r>
        <w:t>The reviewer's intuition is confirmed. We have added a full sensitivity analysis varying the equipment-CHE share from 5% to 25% (new Table 5, new Figure 9). At 5%, the fiscal return is 1.02 (sustainable); at 10%, it is 1.00 (borderline); at 15% (base case), 0.98; at 20%, 0.96; at 25%, 0.94. The sustainability conclusion under Scenario A thus depends critically on this assumption. We now state this explicitly in both Results and Discussion.</w:t>
      </w:r>
    </w:p>
    <w:p/>
    <w:p>
      <w:r>
        <w:rPr>
          <w:b/>
        </w:rPr>
        <w:t xml:space="preserve">Comment 6: </w:t>
      </w:r>
      <w:r>
        <w:rPr>
          <w:i/>
        </w:rPr>
        <w:t>Scenario A presumes that reducing equipment density lowers the multiplier, but the chain density → spending → multiplier is not transparently modeled.</w:t>
      </w:r>
    </w:p>
    <w:p/>
    <w:p>
      <w:r>
        <w:rPr>
          <w:b/>
        </w:rPr>
        <w:t xml:space="preserve">Response: </w:t>
      </w:r>
      <w:r>
        <w:t>We have added a new paragraph in Methods ('Counterfactual scenarios and sensitivity analysis') that explicitly describes the four-step transmission chain: (i) density reduction → (ii) proportionally lower equipment-related spending → (iii) multiplier reduction (by half the proportional equipment share reduction, reflecting that some equipment spending flows to imports) → (iv) further adjustment for import leakage.</w:t>
      </w:r>
    </w:p>
    <w:p/>
    <w:p>
      <w:r>
        <w:rPr>
          <w:b/>
        </w:rPr>
        <w:t xml:space="preserve">Comment 7: </w:t>
      </w:r>
      <w:r>
        <w:rPr>
          <w:i/>
        </w:rPr>
        <w:t>The gap between 0.98 and 1.0 is likely smaller than the upstream approximation error. Values near 1.0 should carry an error/sensitivity range.</w:t>
      </w:r>
    </w:p>
    <w:p/>
    <w:p>
      <w:r>
        <w:rPr>
          <w:b/>
        </w:rPr>
        <w:t xml:space="preserve">Response: </w:t>
      </w:r>
      <w:r>
        <w:t>We fully agree. The Discussion now explicitly states that 'the gap between the Scenario A ratio (0.98) and the threshold (1.0) is 0.02, which is smaller than the sensitivity range (0.94-1.02 across the 5-25% equipment share range). Values near 1.0 should be interpreted with an uncertainty range rather than as a binary sustainability determination.' The conclusions now use language of 'indicative ranges' rather than definitive sustainability claims.</w:t>
      </w:r>
    </w:p>
    <w:p/>
    <w:p>
      <w:pPr>
        <w:pStyle w:val="Heading1"/>
      </w:pPr>
      <w:r>
        <w:t>Response to Reviewer 2</w:t>
      </w:r>
    </w:p>
    <w:p>
      <w:r>
        <w:rPr>
          <w:b/>
        </w:rPr>
        <w:t xml:space="preserve">Comment 1: </w:t>
      </w:r>
      <w:r>
        <w:rPr>
          <w:i/>
        </w:rPr>
        <w:t>The author's position must be made explicit: does the current equipment density represent a social surplus or a necessary density?</w:t>
      </w:r>
    </w:p>
    <w:p/>
    <w:p>
      <w:r>
        <w:rPr>
          <w:b/>
        </w:rPr>
        <w:t xml:space="preserve">Response: </w:t>
      </w:r>
      <w:r>
        <w:t>We have added a new subsection 'Position on Japan's equipment density' in the Discussion that explicitly states our position: Japan's equipment density represents neither a clear surplus nor an unambiguous necessity, but a structural feature whose net effect depends on distinguishing value-generating diagnostic activity from wasteful over-utilization. We cite Hiramatsu et al. on defensive medicine in Japan (new reference 29).</w:t>
      </w:r>
    </w:p>
    <w:p/>
    <w:p>
      <w:r>
        <w:rPr>
          <w:b/>
        </w:rPr>
        <w:t xml:space="preserve">Comment 2: </w:t>
      </w:r>
      <w:r>
        <w:rPr>
          <w:i/>
        </w:rPr>
        <w:t>Separate analyses for the Late-Stage Elderly Healthcare System and other insurance frameworks are essential.</w:t>
      </w:r>
    </w:p>
    <w:p/>
    <w:p>
      <w:r>
        <w:rPr>
          <w:b/>
        </w:rPr>
        <w:t xml:space="preserve">Response: </w:t>
      </w:r>
      <w:r>
        <w:t>We have added a new Discussion subsection on 'Implications of Japan's elderly insurance structure' that describes the Late-Stage Elderly Healthcare System (Kouki Koreisha Iryo Seido) and its implications for sustainability analysis. We acknowledge that treating expenditure as a homogeneous aggregate is a limitation and that disaggregated analysis is an important future direction. The Background now also describes this system (new reference 26).</w:t>
      </w:r>
    </w:p>
    <w:p/>
    <w:p>
      <w:r>
        <w:rPr>
          <w:b/>
        </w:rPr>
        <w:t xml:space="preserve">Comment 3: </w:t>
      </w:r>
      <w:r>
        <w:rPr>
          <w:i/>
        </w:rPr>
        <w:t>A context within a super-aged society with growing elderly and shrinking workforce should be considered.</w:t>
      </w:r>
    </w:p>
    <w:p/>
    <w:p>
      <w:r>
        <w:rPr>
          <w:b/>
        </w:rPr>
        <w:t xml:space="preserve">Response: </w:t>
      </w:r>
      <w:r>
        <w:t>The Background now includes an expanded paragraph on Japan's super-aged society context, including projections (35% aged 65+ by 2040, 20% workforce decline). The Discussion also addresses the structural pressure this places on healthcare financing.</w:t>
      </w:r>
    </w:p>
    <w:p/>
    <w:p>
      <w:r>
        <w:rPr>
          <w:b/>
        </w:rPr>
        <w:t xml:space="preserve">Comment 4: </w:t>
      </w:r>
      <w:r>
        <w:rPr>
          <w:i/>
        </w:rPr>
        <w:t>The title fails to convey that the study specifically evaluates the sustainability of Japanese medical service.</w:t>
      </w:r>
    </w:p>
    <w:p/>
    <w:p>
      <w:r>
        <w:rPr>
          <w:b/>
        </w:rPr>
        <w:t xml:space="preserve">Response: </w:t>
      </w:r>
      <w:r>
        <w:t>The title has been revised to: 'Evaluating Healthcare Expenditure Sustainability in Japan: A Dual-Return Framework Integrating Input-Output Multipliers, Health-Capital Tempo, and Diagnostic Equipment Stock with Cross-Country Benchmarking.' This signals the Japan focus while indicating the cross-country context.</w:t>
      </w:r>
    </w:p>
    <w:p/>
    <w:p>
      <w:r>
        <w:rPr>
          <w:b/>
        </w:rPr>
        <w:t xml:space="preserve">Comment 5: </w:t>
      </w:r>
      <w:r>
        <w:rPr>
          <w:i/>
        </w:rPr>
        <w:t>Physician remuneration and density variations among OECD countries must be taken into account.</w:t>
      </w:r>
    </w:p>
    <w:p/>
    <w:p>
      <w:r>
        <w:rPr>
          <w:b/>
        </w:rPr>
        <w:t xml:space="preserve">Response: </w:t>
      </w:r>
      <w:r>
        <w:t>The Background now discusses Japan's low physician density (2.5/1,000 vs OECD average 3.7) and work-style reform constraints (new references 27, 28). The Discussion includes a new subsection on 'Over-supply risks and workforce sustainability' addressing the tension between low physician density and high service access. The limitations section notes that physician remuneration differences affect international comparability.</w:t>
      </w:r>
    </w:p>
    <w:p/>
    <w:p>
      <w:r>
        <w:rPr>
          <w:b/>
        </w:rPr>
        <w:t xml:space="preserve">Comment 6: </w:t>
      </w:r>
      <w:r>
        <w:rPr>
          <w:i/>
        </w:rPr>
        <w:t>When public financing is funded by deficit rather than taxation, a ratio above 1.0 reflects only a temporary flow. The methodology needs re-evaluation.</w:t>
      </w:r>
    </w:p>
    <w:p/>
    <w:p>
      <w:r>
        <w:rPr>
          <w:b/>
        </w:rPr>
        <w:t xml:space="preserve">Response: </w:t>
      </w:r>
      <w:r>
        <w:t>We have added deficit-adjusted analysis. Table 2 now includes a 'Deficit Share' column showing the general-account deficit dependency for each country. A new Discussion subsection 'Deficit financing and national debt' addresses this concern in depth, noting Japan's 35% deficit dependency and 250%+ debt-to-GDP ratio (new references 25, 30). The Methods section now describes the deficit-adjusted variant.</w:t>
      </w:r>
    </w:p>
    <w:p/>
    <w:p>
      <w:r>
        <w:rPr>
          <w:b/>
        </w:rPr>
        <w:t xml:space="preserve">Comment 7: </w:t>
      </w:r>
      <w:r>
        <w:rPr>
          <w:i/>
        </w:rPr>
        <w:t>The applicability of the current index for international comparisons is highly questionable given different deficit financing structures.</w:t>
      </w:r>
    </w:p>
    <w:p/>
    <w:p>
      <w:r>
        <w:rPr>
          <w:b/>
        </w:rPr>
        <w:t xml:space="preserve">Response: </w:t>
      </w:r>
      <w:r>
        <w:t>A new Discussion subsection 'Limitations of international comparison' addresses this, noting that deficit financing structures vary substantially (Sweden 2% vs Japan 35%) and that direct ratio comparison is appropriate for identifying broad patterns but not for normative sustainability judgments.</w:t>
      </w:r>
    </w:p>
    <w:p/>
    <w:p>
      <w:r>
        <w:rPr>
          <w:b/>
        </w:rPr>
        <w:t xml:space="preserve">Comment 8: </w:t>
      </w:r>
      <w:r>
        <w:rPr>
          <w:i/>
        </w:rPr>
        <w:t>The Abstract should be revised to align with the main findings.</w:t>
      </w:r>
    </w:p>
    <w:p/>
    <w:p>
      <w:r>
        <w:rPr>
          <w:b/>
        </w:rPr>
        <w:t xml:space="preserve">Response: </w:t>
      </w:r>
      <w:r>
        <w:t>The Abstract has been substantially revised. The focus is now on Japan with cross-country benchmarking as context. Results include both output and VA multiplier findings, the sensitivity range for Scenario A, and the honest M2 vs M1 assessment. Conclusions are appropriately cautious.</w:t>
      </w:r>
    </w:p>
    <w:p/>
    <w:p>
      <w:r>
        <w:rPr>
          <w:b/>
        </w:rPr>
        <w:t xml:space="preserve">Comment 9: </w:t>
      </w:r>
      <w:r>
        <w:rPr>
          <w:i/>
        </w:rPr>
        <w:t>There must be a baseline assumption that quality and accessibility are uniform across countries. In reality, this is not the case.</w:t>
      </w:r>
    </w:p>
    <w:p/>
    <w:p>
      <w:r>
        <w:rPr>
          <w:b/>
        </w:rPr>
        <w:t xml:space="preserve">Response: </w:t>
      </w:r>
      <w:r>
        <w:t>The new 'Limitations of international comparison' subsection discusses the differences in access (free specialist access vs GP gatekeeping), emergency care structure, and physician remuneration that make uniform comparison problematic.</w:t>
      </w:r>
    </w:p>
    <w:p/>
    <w:p>
      <w:r>
        <w:rPr>
          <w:b/>
        </w:rPr>
        <w:t xml:space="preserve">Comment 10: </w:t>
      </w:r>
      <w:r>
        <w:rPr>
          <w:i/>
        </w:rPr>
        <w:t>The author does not evaluate the potential for over-supply. Defensive medicine, over-testing, and medical staff burnout must be addressed.</w:t>
      </w:r>
    </w:p>
    <w:p/>
    <w:p>
      <w:r>
        <w:rPr>
          <w:b/>
        </w:rPr>
        <w:t xml:space="preserve">Response: </w:t>
      </w:r>
      <w:r>
        <w:t>A new subsection 'Over-supply risks and workforce sustainability' in the Discussion addresses defensive medicine (citing Hiramatsu et al., ref 29), the tension between high equipment density and low physician density, and the implications of work-style reform. We acknowledge that the multiplier captures economic activity, not health value, and that low-value utilization would overstate the sustainability benefit.</w:t>
      </w:r>
    </w:p>
    <w:p/>
    <w:p>
      <w:r>
        <w:rPr>
          <w:b/>
        </w:rPr>
        <w:t xml:space="preserve">Comment 11-12: </w:t>
      </w:r>
      <w:r>
        <w:rPr>
          <w:i/>
        </w:rPr>
        <w:t>The amount of national debt allocated to healthcare should be estimated. Health expenditure causes national debt.</w:t>
      </w:r>
    </w:p>
    <w:p/>
    <w:p>
      <w:r>
        <w:rPr>
          <w:b/>
        </w:rPr>
        <w:t xml:space="preserve">Response: </w:t>
      </w:r>
      <w:r>
        <w:t>The Background now discusses Japan's fiscal context including deficit dependency (35%) and national debt (250%+ of GDP). A new Discussion subsection provides detailed analysis of how deficit financing affects interpretation of the fiscal return ratio. New references 25 and 30 support this material.</w:t>
      </w:r>
    </w:p>
    <w:p/>
    <w:p>
      <w:r>
        <w:rPr>
          <w:b/>
        </w:rPr>
        <w:t xml:space="preserve">Comment 13: </w:t>
      </w:r>
      <w:r>
        <w:rPr>
          <w:i/>
        </w:rPr>
        <w:t>Modifications beyond the Methods section are necessary.</w:t>
      </w:r>
    </w:p>
    <w:p/>
    <w:p>
      <w:r>
        <w:rPr>
          <w:b/>
        </w:rPr>
        <w:t xml:space="preserve">Response: </w:t>
      </w:r>
      <w:r>
        <w:t>As detailed above, revisions have been made throughout the manuscript: Background (super-aged context, elderly healthcare system, physician density, national debt), Methods (output vs VA distinction, deficit adjustment, sensitivity analysis), Results (VA multiplier ratios, sensitivity table), Discussion (equipment position, over-supply, workforce, elderly insurance, deficit, international comparison caveats), and Conclusions (substantially toned down).</w:t>
      </w:r>
    </w:p>
    <w:p/>
    <w:p/>
    <w:p>
      <w:r>
        <w:t>We believe these revisions have substantially strengthened the manuscript and addressed all reviewer concerns. We are happy to make any further modifications the editor or reviewers may suggest.</w:t>
      </w:r>
    </w:p>
    <w:p/>
    <w:p>
      <w:r>
        <w:t>Sincerely,</w:t>
      </w:r>
    </w:p>
    <w:p/>
    <w:p>
      <w:r>
        <w:t>Tatsuki Onishi</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