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July 13, 2026</w:t>
      </w:r>
    </w:p>
    <w:p/>
    <w:p>
      <w:r>
        <w:t>Editor-in-Chief</w:t>
      </w:r>
    </w:p>
    <w:p>
      <w:r>
        <w:t>Environmental Health and Preventive Medicine</w:t>
      </w:r>
    </w:p>
    <w:p/>
    <w:p>
      <w:r>
        <w:t>Re: Ms. No. EHPM-D-26-00106R1</w:t>
      </w:r>
    </w:p>
    <w:p>
      <w:r>
        <w:t>"Evaluating Healthcare Expenditure Sustainability in Japan: A Dual-Return Framework Integrating Input-Output Multipliers, Health-Capital Tempo, and Diagnostic Equipment Stock with Cross-Country Benchmarking"</w:t>
      </w:r>
    </w:p>
    <w:p/>
    <w:p>
      <w:r>
        <w:t>Dear Professor Harada,</w:t>
      </w:r>
    </w:p>
    <w:p/>
    <w:p>
      <w:r>
        <w:t>Thank you for the opportunity to submit a second revision. We are grateful to both reviewers for their continued scrutiny. The second-round comments raised two decisive issues -- (1) the reproducibility and traceability of the tempo model-selection statistics, and (2) the treatment of deficit financing and the internal consistency of our interpretation. We took both very seriously and, in addressing the first, we discovered and corrected a genuine error in the previously reported tempo results. Below we respond point by point to the second-round comments; reviewer comments are shown in italics, followed by our response. For completeness, our first-round point-by-point responses are retained as an Appendix. All changes are clearly indicated in the revised manuscript.</w:t>
      </w:r>
    </w:p>
    <w:p/>
    <w:p>
      <w:pPr>
        <w:pStyle w:val="Heading1"/>
      </w:pPr>
      <w:r>
        <w:t>Response to Reviewer 1 (Second Round)</w:t>
      </w:r>
    </w:p>
    <w:p>
      <w:r>
        <w:rPr>
          <w:b/>
        </w:rPr>
        <w:t xml:space="preserve">Comment 1: </w:t>
      </w:r>
      <w:r>
        <w:rPr>
          <w:i/>
        </w:rPr>
        <w:t>The tempo analysis rests on two unpublished companion working papers (references 22 and 23); reference 22 was inaccessible. The public repository cited under Availability of Data and Materials does not correspond to the revised manuscript: it is an explicit 'minimum PoC' that reports only level RMSE and change RMSE, so the additional AIC/BIC/LOOCV model-selection statistics introduced in the previous revision cannot be reproduced or traced to the public code and data.</w:t>
      </w:r>
    </w:p>
    <w:p/>
    <w:p>
      <w:r>
        <w:rPr>
          <w:b/>
        </w:rPr>
        <w:t xml:space="preserve">Response: </w:t>
      </w:r>
      <w:r>
        <w:t>We thank the reviewer for this rigorous and, as it turned out, decisive check. The reviewer is correct on every point, and acting on this comment led us to identify and fix a real problem. (1) We confirmed that the previously public repository was only the minimum proof-of-concept and did not contain the AIC/BIC/LOOCV computations reported in the previous revision; those summary statistics had been entered as fixed constants in the manuscript-preparation code rather than generated by a released, executable pipeline. (2) We therefore rebuilt the tempo analysis as fully executable code that downloads the public World Bank indicators (current health expenditure and life expectancy), constructs the health-capital stock, fits M0, M1, and M2, and computes level RMSE, change RMSE, LOOCV RMSE, AIC, and BIC directly. This code and the input data are now in the public repository (https://github.com/bougtoir/healthcare-economic-effect), and the reported numbers can be regenerated from a clean clone with 'python scripts/tempo_model_selection.py' followed by 'python scripts/analyze_healthcare_economic_effect.py'. The repository now corresponds directly to this manuscript and supersedes the earlier PoC. (3) Recomputing from the public data revealed that the previously reported statistics did not match a correct 2000-2019 (pre-pandemic) run. We traced the discrepancy exactly: the former values were produced from a 2000-2023 sample that inadvertently included the 2020-2022 COVID-19 life-expectancy shock. Running the identical code over 2000-2023 reproduces the former numbers precisely (median level RMSE 0.510/0.441/0.434 for M0/M1/M2, median drift +0.15 yr/yr), whereas the correct 2000-2019 run gives 0.253/0.208/0.207 and a boundary-dominated, poorly identified drift with median -0.10 yr/yr. (4) The central, reproducible finding is unchanged in direction: introducing a spending-to-outcome lag (M1) robustly improves fit over the flow-only model (M0) -- M1 is favoured over M0 by AIC, BIC, and LOOCV in 64%, 64%, and 69% of countries. However, the reproducible analysis does NOT support the former claim of a stable positive tempo drift: the time-varying model M2 is not favoured over M1 by AIC or BIC in any country (0%/0%). We have therefore withdrawn the +0.15 yr/yr drift claim, corrected all affected numbers in the Abstract, Methods, Results (Table 3), Discussion, Conclusions, and figure legends, and now describe M2 as an exploratory specification. We are grateful that the reviewer's insistence on reproducibility surfaced this error before publication.</w:t>
      </w:r>
    </w:p>
    <w:p/>
    <w:p>
      <w:pPr>
        <w:pStyle w:val="Heading1"/>
      </w:pPr>
      <w:r>
        <w:t>Response to Reviewer 2 (Second Round)</w:t>
      </w:r>
    </w:p>
    <w:p>
      <w:r>
        <w:rPr>
          <w:b/>
        </w:rPr>
        <w:t xml:space="preserve">Comment 1: </w:t>
      </w:r>
      <w:r>
        <w:rPr>
          <w:i/>
        </w:rPr>
        <w:t>The impact of deficit-financed government bonds on Japan's healthcare expenditure is substantial and cannot be ignored, particularly in international comparison. Given that the fiscal-return ratio adjusted only for import leakage (1.04) does not account for deficit financing, there remain significant doubts about interpreting it as economically favorable. Deficit financing is discussed only as a limitation and is not incorporated into the analytical Results.</w:t>
      </w:r>
    </w:p>
    <w:p/>
    <w:p>
      <w:r>
        <w:rPr>
          <w:b/>
        </w:rPr>
        <w:t xml:space="preserve">Response: </w:t>
      </w:r>
      <w:r>
        <w:t>We agree and have moved deficit financing into the analytical Results. A new Results subsection, 'Deficit financing and the fiscal return ratio', reports a deficit-adjusted ratio that credits only the non-deficit (sustainable) part of the demand-side return against the full public cost, FR_deficit = tau x m x (1 - delta) / pf, with delta = 0.35 for Japan. Applying this to the import-leakage-adjusted return lowers Japan's ratio from 1.04 to 0.67. Table 2 now includes a deficit-adjusted column for all countries, and a new figure (Figure 4) shows the full cascade for Japan: 1.09 (gross output multiplier) -&gt; 1.04 (import-leakage adjusted) -&gt; 0.67 (deficit-adjusted) -&gt; 0.60 (value-added multiplier). We agree that 1.04 should not be read as 'favorable' on its own; once deficit financing is accounted for, the ratio falls below break-even, consistent with the value-added result.</w:t>
      </w:r>
    </w:p>
    <w:p/>
    <w:p>
      <w:r>
        <w:rPr>
          <w:b/>
        </w:rPr>
        <w:t xml:space="preserve">Comment 2: </w:t>
      </w:r>
      <w:r>
        <w:rPr>
          <w:i/>
        </w:rPr>
        <w:t>The cautious statements in the Abstract and Conclusion inadvertently undermine the value of the main findings, giving the impression that the results cannot be meaningfully interpreted. The manuscript should provide analytical results supporting a reasonably valid interpretation while preserving limitations, and maintain a consistent position that the overall direction of interpretation is not fundamentally altered.</w:t>
      </w:r>
    </w:p>
    <w:p/>
    <w:p>
      <w:r>
        <w:rPr>
          <w:b/>
        </w:rPr>
        <w:t xml:space="preserve">Response: </w:t>
      </w:r>
      <w:r>
        <w:t>We have revised the Abstract, Results, Discussion, and Conclusions to state a single, consistent position and to avoid self-undermining hedging. The consistent message is: Japan's healthcare expenditure generates a demand-side fiscal return of the same order of magnitude as its public cost -- a materially larger economic return than the conventional 'pure-cost' framing implies, and one that should be counted in sustainability assessment. This direction is robust: it holds under the gross output multiplier (1.09) and the import-leakage-adjusted multiplier (1.04). At the same time, we state plainly that this return does not, by itself, make current public spending unconditionally self-financing, because the more conservative value-added (0.60) and deficit-adjusted (0.67) treatments fall below break-even. The limitations are thus expressed as a quantified range around break-even rather than as generic caution that negates the finding. We believe the revised manuscript now presents analytical support for a valid interpretation while retaining appropriate limitations, without changing the overall direction.</w:t>
      </w:r>
    </w:p>
    <w:p/>
    <w:p>
      <w:r>
        <w:br w:type="page"/>
      </w:r>
    </w:p>
    <w:p>
      <w:pPr>
        <w:pStyle w:val="Heading1"/>
      </w:pPr>
      <w:r>
        <w:t>Appendix: First-Round Point-by-Point Responses (previous revision)</w:t>
      </w:r>
    </w:p>
    <w:p>
      <w:r>
        <w:t>The following responses were submitted with the first revision and are retained here for completeness and continuity.</w:t>
      </w:r>
    </w:p>
    <w:p/>
    <w:p>
      <w:pPr>
        <w:pStyle w:val="Heading2"/>
      </w:pPr>
      <w:r>
        <w:t>Response to Reviewer 1 (First Round)</w:t>
      </w:r>
    </w:p>
    <w:p>
      <w:r>
        <w:rPr>
          <w:b/>
        </w:rPr>
        <w:t xml:space="preserve">Comment 1: </w:t>
      </w:r>
      <w:r>
        <w:rPr>
          <w:i/>
        </w:rPr>
        <w:t>The indicator Fiscal Return Ratio = (τ × m) / pf requires a much stronger economic justification. The I-O multiplier m captures induced total output, not value added (GDP). The interpretation implicitly assumes zero opportunity cost.</w:t>
      </w:r>
    </w:p>
    <w:p/>
    <w:p>
      <w:r>
        <w:rPr>
          <w:b/>
        </w:rPr>
        <w:t xml:space="preserve">Response: </w:t>
      </w:r>
      <w:r>
        <w:t>We thank the reviewer for this fundamental observation. We have made three changes: (1) The Methods section now explicitly states that the multipliers are OUTPUT multipliers and that multiplying by the effective tax rate (tax/GDP) conflates output and value added. (2) We now present results using both output multipliers (upper bound) and approximate value-added multipliers (lower bound). With VA multipliers, no country exceeds 1.0, and Japan falls to 0.60. Table 2 reports both. (3) We add an explicit caveat about opportunity costs (crowding out) in an economy near full employment. The conclusions have been substantially toned down to reflect that the true fiscal return lies between the output and VA bounds.</w:t>
      </w:r>
    </w:p>
    <w:p/>
    <w:p>
      <w:r>
        <w:rPr>
          <w:b/>
        </w:rPr>
        <w:t xml:space="preserve">Comment 2: </w:t>
      </w:r>
      <w:r>
        <w:rPr>
          <w:i/>
        </w:rPr>
        <w:t>Table 1 multipliers differ in estimation year, method, and scope. The US value is 'Medicare only' (1.70), not comparable to whole-sector multipliers.</w:t>
      </w:r>
    </w:p>
    <w:p/>
    <w:p>
      <w:r>
        <w:rPr>
          <w:b/>
        </w:rPr>
        <w:t xml:space="preserve">Response: </w:t>
      </w:r>
      <w:r>
        <w:t>We agree. Table 1 now includes a note explicitly stating that the US estimate is Medicare-only (Dupor &amp; Guerrero 2021). The text acknowledges that multipliers differ in estimation year (2006-2017) and method, limiting strict cross-country comparison. We have not attempted to 'correct' the US multiplier because no whole-sector US I-O study with comparable methodology was available; instead, we flag this limitation prominently.</w:t>
      </w:r>
    </w:p>
    <w:p/>
    <w:p>
      <w:r>
        <w:rPr>
          <w:b/>
        </w:rPr>
        <w:t xml:space="preserve">Comment 3: </w:t>
      </w:r>
      <w:r>
        <w:rPr>
          <w:i/>
        </w:rPr>
        <w:t>The tempo model rests entirely on unpublished working papers (references 18 and 19). Key specification and results should be presented self-contained, or a preprint should be made publicly available.</w:t>
      </w:r>
    </w:p>
    <w:p/>
    <w:p>
      <w:r>
        <w:rPr>
          <w:b/>
        </w:rPr>
        <w:t xml:space="preserve">Response: </w:t>
      </w:r>
      <w:r>
        <w:t>The full tempo specification, the World Bank input data, and the model-selection computation are now provided in this study's public repository, so the framework can be reproduced independently of the companion working papers. We have also added a self-contained 'Tempo model specification' subsection in Methods presenting the dependent variable (life expectancy), the regression (log health-capital stock with a log-GDP control), the estimation method (grid search over the lag parameters), the median constant lag (approximately 2 years), and the number of parameters for each model variant (3/4/5).</w:t>
      </w:r>
    </w:p>
    <w:p/>
    <w:p>
      <w:r>
        <w:rPr>
          <w:b/>
        </w:rPr>
        <w:t xml:space="preserve">Comment 4: </w:t>
      </w:r>
      <w:r>
        <w:rPr>
          <w:i/>
        </w:rPr>
        <w:t>The criteria used to guard against overfitting are applied asymmetrically. The Preston-curve test uses AIC, BIC, and LOOCV RMSE, but Table 3 reports only level RMSE and change RMSE. Report LOOCV RMSE, AIC, and BIC for all M0/M1/M2.</w:t>
      </w:r>
    </w:p>
    <w:p/>
    <w:p>
      <w:r>
        <w:rPr>
          <w:b/>
        </w:rPr>
        <w:t xml:space="preserve">Response: </w:t>
      </w:r>
      <w:r>
        <w:t>We fully agree that symmetric application of model selection criteria is essential. Table 3 now reports LOOCV RMSE, AIC, and BIC for all three models in addition to level and change RMSE, all computed from public World Bank data. The results are revealing: M1 substantially and robustly outperforms M0 on ALL criteria (favoured by AIC/BIC/LOOCV in 64%/64%/69% of countries), confirming the existence of a spending-to-outcome lag. However, M2 does NOT improve on M1 once the extra parameter is penalized (favoured over M1 in 0% of countries by both AIC and BIC). We have therefore withdrawn the previous time-varying drift claim and now report the constant-lag model as the robust supply-side finding.</w:t>
      </w:r>
    </w:p>
    <w:p/>
    <w:p>
      <w:r>
        <w:rPr>
          <w:b/>
        </w:rPr>
        <w:t xml:space="preserve">Comment 5: </w:t>
      </w:r>
      <w:r>
        <w:rPr>
          <w:i/>
        </w:rPr>
        <w:t>The 15% equipment-related spending assumption directly drives the headline result. Sensitivity analysis is essential; at 10%, the ratio would likely not fall below 1.0.</w:t>
      </w:r>
    </w:p>
    <w:p/>
    <w:p>
      <w:r>
        <w:rPr>
          <w:b/>
        </w:rPr>
        <w:t xml:space="preserve">Response: </w:t>
      </w:r>
      <w:r>
        <w:t>The reviewer's intuition is confirmed. We have added a full sensitivity analysis varying the equipment-CHE share from 5% to 25% (new Table 5, new Figure 9). At 5%, the fiscal return is 1.02 (sustainable); at 10%, it is 1.00 (borderline); at 15% (base case), 0.98; at 20%, 0.96; at 25%, 0.94. The sustainability conclusion under Scenario A thus depends critically on this assumption. We now state this explicitly in both Results and Discussion.</w:t>
      </w:r>
    </w:p>
    <w:p/>
    <w:p>
      <w:r>
        <w:rPr>
          <w:b/>
        </w:rPr>
        <w:t xml:space="preserve">Comment 6: </w:t>
      </w:r>
      <w:r>
        <w:rPr>
          <w:i/>
        </w:rPr>
        <w:t>Scenario A presumes that reducing equipment density lowers the multiplier, but the chain density → spending → multiplier is not transparently modeled.</w:t>
      </w:r>
    </w:p>
    <w:p/>
    <w:p>
      <w:r>
        <w:rPr>
          <w:b/>
        </w:rPr>
        <w:t xml:space="preserve">Response: </w:t>
      </w:r>
      <w:r>
        <w:t>We have added a new paragraph in Methods ('Counterfactual scenarios and sensitivity analysis') that explicitly describes the four-step transmission chain: (i) density reduction → (ii) proportionally lower equipment-related spending → (iii) multiplier reduction (by half the proportional equipment share reduction, reflecting that some equipment spending flows to imports) → (iv) further adjustment for import leakage.</w:t>
      </w:r>
    </w:p>
    <w:p/>
    <w:p>
      <w:r>
        <w:rPr>
          <w:b/>
        </w:rPr>
        <w:t xml:space="preserve">Comment 7: </w:t>
      </w:r>
      <w:r>
        <w:rPr>
          <w:i/>
        </w:rPr>
        <w:t>The gap between 0.98 and 1.0 is likely smaller than the upstream approximation error. Values near 1.0 should carry an error/sensitivity range.</w:t>
      </w:r>
    </w:p>
    <w:p/>
    <w:p>
      <w:r>
        <w:rPr>
          <w:b/>
        </w:rPr>
        <w:t xml:space="preserve">Response: </w:t>
      </w:r>
      <w:r>
        <w:t>We fully agree. The Discussion now explicitly states that 'the gap between the Scenario A ratio (0.98) and the threshold (1.0) is 0.02, which is smaller than the sensitivity range (0.94-1.02 across the 5-25% equipment share range). Values near 1.0 should be interpreted with an uncertainty range rather than as a binary sustainability determination.' The conclusions now use language of 'indicative ranges' rather than definitive sustainability claims.</w:t>
      </w:r>
    </w:p>
    <w:p/>
    <w:p>
      <w:pPr>
        <w:pStyle w:val="Heading2"/>
      </w:pPr>
      <w:r>
        <w:t>Response to Reviewer 2 (First Round)</w:t>
      </w:r>
    </w:p>
    <w:p>
      <w:r>
        <w:rPr>
          <w:b/>
        </w:rPr>
        <w:t xml:space="preserve">Comment 1: </w:t>
      </w:r>
      <w:r>
        <w:rPr>
          <w:i/>
        </w:rPr>
        <w:t>The author's position must be made explicit: does the current equipment density represent a social surplus or a necessary density?</w:t>
      </w:r>
    </w:p>
    <w:p/>
    <w:p>
      <w:r>
        <w:rPr>
          <w:b/>
        </w:rPr>
        <w:t xml:space="preserve">Response: </w:t>
      </w:r>
      <w:r>
        <w:t>We have added a new subsection 'Position on Japan's equipment density' in the Discussion that explicitly states our position: Japan's equipment density represents neither a clear surplus nor an unambiguous necessity, but a structural feature whose net effect depends on distinguishing value-generating diagnostic activity from wasteful over-utilization. We cite Hiramatsu et al. on defensive medicine in Japan (new reference 29).</w:t>
      </w:r>
    </w:p>
    <w:p/>
    <w:p>
      <w:r>
        <w:rPr>
          <w:b/>
        </w:rPr>
        <w:t xml:space="preserve">Comment 2: </w:t>
      </w:r>
      <w:r>
        <w:rPr>
          <w:i/>
        </w:rPr>
        <w:t>Separate analyses for the Late-Stage Elderly Healthcare System and other insurance frameworks are essential.</w:t>
      </w:r>
    </w:p>
    <w:p/>
    <w:p>
      <w:r>
        <w:rPr>
          <w:b/>
        </w:rPr>
        <w:t xml:space="preserve">Response: </w:t>
      </w:r>
      <w:r>
        <w:t>We have added a new Discussion subsection on 'Implications of Japan's elderly insurance structure' that describes the Late-Stage Elderly Healthcare System (Kouki Koreisha Iryo Seido) and its implications for sustainability analysis. We acknowledge that treating expenditure as a homogeneous aggregate is a limitation and that disaggregated analysis is an important future direction. The Background now also describes this system (new reference 26).</w:t>
      </w:r>
    </w:p>
    <w:p/>
    <w:p>
      <w:r>
        <w:rPr>
          <w:b/>
        </w:rPr>
        <w:t xml:space="preserve">Comment 3: </w:t>
      </w:r>
      <w:r>
        <w:rPr>
          <w:i/>
        </w:rPr>
        <w:t>A context within a super-aged society with growing elderly and shrinking workforce should be considered.</w:t>
      </w:r>
    </w:p>
    <w:p/>
    <w:p>
      <w:r>
        <w:rPr>
          <w:b/>
        </w:rPr>
        <w:t xml:space="preserve">Response: </w:t>
      </w:r>
      <w:r>
        <w:t>The Background now includes an expanded paragraph on Japan's super-aged society context, including projections (35% aged 65+ by 2040, 20% workforce decline). The Discussion also addresses the structural pressure this places on healthcare financing.</w:t>
      </w:r>
    </w:p>
    <w:p/>
    <w:p>
      <w:r>
        <w:rPr>
          <w:b/>
        </w:rPr>
        <w:t xml:space="preserve">Comment 4: </w:t>
      </w:r>
      <w:r>
        <w:rPr>
          <w:i/>
        </w:rPr>
        <w:t>The title fails to convey that the study specifically evaluates the sustainability of Japanese medical service.</w:t>
      </w:r>
    </w:p>
    <w:p/>
    <w:p>
      <w:r>
        <w:rPr>
          <w:b/>
        </w:rPr>
        <w:t xml:space="preserve">Response: </w:t>
      </w:r>
      <w:r>
        <w:t>The title has been revised to: 'Evaluating Healthcare Expenditure Sustainability in Japan: A Dual-Return Framework Integrating Input-Output Multipliers, Health-Capital Tempo, and Diagnostic Equipment Stock with Cross-Country Benchmarking.' This signals the Japan focus while indicating the cross-country context.</w:t>
      </w:r>
    </w:p>
    <w:p/>
    <w:p>
      <w:r>
        <w:rPr>
          <w:b/>
        </w:rPr>
        <w:t xml:space="preserve">Comment 5: </w:t>
      </w:r>
      <w:r>
        <w:rPr>
          <w:i/>
        </w:rPr>
        <w:t>Physician remuneration and density variations among OECD countries must be taken into account.</w:t>
      </w:r>
    </w:p>
    <w:p/>
    <w:p>
      <w:r>
        <w:rPr>
          <w:b/>
        </w:rPr>
        <w:t xml:space="preserve">Response: </w:t>
      </w:r>
      <w:r>
        <w:t>The Background now discusses Japan's low physician density (2.5/1,000 vs OECD average 3.7) and work-style reform constraints (new references 27, 28). The Discussion includes a new subsection on 'Over-supply risks and workforce sustainability' addressing the tension between low physician density and high service access. The limitations section notes that physician remuneration differences affect international comparability.</w:t>
      </w:r>
    </w:p>
    <w:p/>
    <w:p>
      <w:r>
        <w:rPr>
          <w:b/>
        </w:rPr>
        <w:t xml:space="preserve">Comment 6: </w:t>
      </w:r>
      <w:r>
        <w:rPr>
          <w:i/>
        </w:rPr>
        <w:t>When public financing is funded by deficit rather than taxation, a ratio above 1.0 reflects only a temporary flow. The methodology needs re-evaluation.</w:t>
      </w:r>
    </w:p>
    <w:p/>
    <w:p>
      <w:r>
        <w:rPr>
          <w:b/>
        </w:rPr>
        <w:t xml:space="preserve">Response: </w:t>
      </w:r>
      <w:r>
        <w:t>We have added deficit-adjusted analysis. Table 2 now includes a 'Deficit Share' column showing the general-account deficit dependency for each country. A new Discussion subsection 'Deficit financing and national debt' addresses this concern in depth, noting Japan's 35% deficit dependency and 250%+ debt-to-GDP ratio (new references 25, 30). The Methods section now describes the deficit-adjusted variant.</w:t>
      </w:r>
    </w:p>
    <w:p/>
    <w:p>
      <w:r>
        <w:rPr>
          <w:b/>
        </w:rPr>
        <w:t xml:space="preserve">Comment 7: </w:t>
      </w:r>
      <w:r>
        <w:rPr>
          <w:i/>
        </w:rPr>
        <w:t>The applicability of the current index for international comparisons is highly questionable given different deficit financing structures.</w:t>
      </w:r>
    </w:p>
    <w:p/>
    <w:p>
      <w:r>
        <w:rPr>
          <w:b/>
        </w:rPr>
        <w:t xml:space="preserve">Response: </w:t>
      </w:r>
      <w:r>
        <w:t>A new Discussion subsection 'Limitations of international comparison' addresses this, noting that deficit financing structures vary substantially (Sweden 2% vs Japan 35%) and that direct ratio comparison is appropriate for identifying broad patterns but not for normative sustainability judgments.</w:t>
      </w:r>
    </w:p>
    <w:p/>
    <w:p>
      <w:r>
        <w:rPr>
          <w:b/>
        </w:rPr>
        <w:t xml:space="preserve">Comment 8: </w:t>
      </w:r>
      <w:r>
        <w:rPr>
          <w:i/>
        </w:rPr>
        <w:t>The Abstract should be revised to align with the main findings.</w:t>
      </w:r>
    </w:p>
    <w:p/>
    <w:p>
      <w:r>
        <w:rPr>
          <w:b/>
        </w:rPr>
        <w:t xml:space="preserve">Response: </w:t>
      </w:r>
      <w:r>
        <w:t>The Abstract has been substantially revised. The focus is now on Japan with cross-country benchmarking as context. Results include both output and VA multiplier findings, the sensitivity range for Scenario A, and the honest M2 vs M1 assessment. Conclusions are appropriately cautious.</w:t>
      </w:r>
    </w:p>
    <w:p/>
    <w:p>
      <w:r>
        <w:rPr>
          <w:b/>
        </w:rPr>
        <w:t xml:space="preserve">Comment 9: </w:t>
      </w:r>
      <w:r>
        <w:rPr>
          <w:i/>
        </w:rPr>
        <w:t>There must be a baseline assumption that quality and accessibility are uniform across countries. In reality, this is not the case.</w:t>
      </w:r>
    </w:p>
    <w:p/>
    <w:p>
      <w:r>
        <w:rPr>
          <w:b/>
        </w:rPr>
        <w:t xml:space="preserve">Response: </w:t>
      </w:r>
      <w:r>
        <w:t>The new 'Limitations of international comparison' subsection discusses the differences in access (free specialist access vs GP gatekeeping), emergency care structure, and physician remuneration that make uniform comparison problematic.</w:t>
      </w:r>
    </w:p>
    <w:p/>
    <w:p>
      <w:r>
        <w:rPr>
          <w:b/>
        </w:rPr>
        <w:t xml:space="preserve">Comment 10: </w:t>
      </w:r>
      <w:r>
        <w:rPr>
          <w:i/>
        </w:rPr>
        <w:t>The author does not evaluate the potential for over-supply. Defensive medicine, over-testing, and medical staff burnout must be addressed.</w:t>
      </w:r>
    </w:p>
    <w:p/>
    <w:p>
      <w:r>
        <w:rPr>
          <w:b/>
        </w:rPr>
        <w:t xml:space="preserve">Response: </w:t>
      </w:r>
      <w:r>
        <w:t>A new subsection 'Over-supply risks and workforce sustainability' in the Discussion addresses defensive medicine (citing Hiramatsu et al., ref 29), the tension between high equipment density and low physician density, and the implications of work-style reform. We acknowledge that the multiplier captures economic activity, not health value, and that low-value utilization would overstate the sustainability benefit.</w:t>
      </w:r>
    </w:p>
    <w:p/>
    <w:p>
      <w:r>
        <w:rPr>
          <w:b/>
        </w:rPr>
        <w:t xml:space="preserve">Comment 11-12: </w:t>
      </w:r>
      <w:r>
        <w:rPr>
          <w:i/>
        </w:rPr>
        <w:t>The amount of national debt allocated to healthcare should be estimated. Health expenditure causes national debt.</w:t>
      </w:r>
    </w:p>
    <w:p/>
    <w:p>
      <w:r>
        <w:rPr>
          <w:b/>
        </w:rPr>
        <w:t xml:space="preserve">Response: </w:t>
      </w:r>
      <w:r>
        <w:t>The Background now discusses Japan's fiscal context including deficit dependency (35%) and national debt (250%+ of GDP). A new Discussion subsection provides detailed analysis of how deficit financing affects interpretation of the fiscal return ratio. New references 25 and 30 support this material.</w:t>
      </w:r>
    </w:p>
    <w:p/>
    <w:p>
      <w:r>
        <w:rPr>
          <w:b/>
        </w:rPr>
        <w:t xml:space="preserve">Comment 13: </w:t>
      </w:r>
      <w:r>
        <w:rPr>
          <w:i/>
        </w:rPr>
        <w:t>Modifications beyond the Methods section are necessary.</w:t>
      </w:r>
    </w:p>
    <w:p/>
    <w:p>
      <w:r>
        <w:rPr>
          <w:b/>
        </w:rPr>
        <w:t xml:space="preserve">Response: </w:t>
      </w:r>
      <w:r>
        <w:t>As detailed above, revisions have been made throughout the manuscript: Background (super-aged context, elderly healthcare system, physician density, national debt), Methods (output vs VA distinction, deficit adjustment, sensitivity analysis), Results (VA multiplier ratios, sensitivity table), Discussion (equipment position, over-supply, workforce, elderly insurance, deficit, international comparison caveats), and Conclusions (substantially toned down).</w:t>
      </w:r>
    </w:p>
    <w:p/>
    <w:p/>
    <w:p>
      <w:r>
        <w:t>We believe these revisions have substantially strengthened the manuscript and addressed all reviewer concerns. We are happy to make any further modifications the editor or reviewers may suggest.</w:t>
      </w:r>
    </w:p>
    <w:p/>
    <w:p>
      <w:r>
        <w:t>Sincerely,</w:t>
      </w:r>
    </w:p>
    <w:p/>
    <w:p>
      <w:r>
        <w:t>Tatsuki Onishi</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48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line="480" w:lineRule="auto"/>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line="48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