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May 10, 2026</w:t>
      </w:r>
    </w:p>
    <w:p/>
    <w:p>
      <w:r>
        <w:t>Professor Chi Chiu Leung</w:t>
      </w:r>
    </w:p>
    <w:p>
      <w:r>
        <w:t>Editor-in-Chief</w:t>
      </w:r>
    </w:p>
    <w:p>
      <w:r>
        <w:t>The Lancet Regional Health – Western Pacific</w:t>
      </w:r>
    </w:p>
    <w:p/>
    <w:p>
      <w:r>
        <w:t>Dear Professor Leung,</w:t>
      </w:r>
    </w:p>
    <w:p/>
    <w:p>
      <w:r>
        <w:t>I am pleased to submit the enclosed manuscript entitled “Do Cultural Labels Predict Analgesic Need? A 47-Prefecture Ecological Study of Pain Prescribing Variation in Japan” for consideration as an Original Article in The Lancet Regional Health – Western Pacific.</w:t>
      </w:r>
    </w:p>
    <w:p>
      <w:r>
        <w:t>Clinicians frequently rely on cultural labels—such as “Japanese patients are stoic”—when making analgesic prescribing decisions. Yet all prior comparisons have treated Japan as a culturally homogeneous unit. Using population-complete insurance claims data from Japan’s National Database (NDB Open Data, 10th edition, covering approximately 125 million insured individuals), we mapped perioperative and chronic pain-related prescribing across all 47 prefectures for the first time to test whether cultural labels predict analgesic use.</w:t>
      </w:r>
    </w:p>
    <w:p>
      <w:r>
        <w:t>Our principal findings are:</w:t>
      </w:r>
    </w:p>
    <w:p>
      <w:pPr>
        <w:pStyle w:val="ListBullet"/>
      </w:pPr>
      <w:r>
        <w:t>Acute perioperative analgesic prescribing varied 1·97-fold across prefectures (Kruskal–Wallis P&lt;0·001), with significant regional clustering.</w:t>
      </w:r>
    </w:p>
    <w:p>
      <w:pPr>
        <w:pStyle w:val="ListBullet"/>
      </w:pPr>
      <w:r>
        <w:t>Tohoku—traditionally considered Japan’s most stoic region—prescribed more, not fewer, analgesics (Cohen’s d=0·87), contradicting the stereotype of universal pain endurance.</w:t>
      </w:r>
    </w:p>
    <w:p>
      <w:pPr>
        <w:pStyle w:val="ListBullet"/>
      </w:pPr>
      <w:r>
        <w:t>The apparent Tohoku excess in neuropathic pain prescribing was largely explained by confounding disease prevalence (especially diabetes; r=0·87), with 84% attenuation after adjustment.</w:t>
      </w:r>
    </w:p>
    <w:p>
      <w:pPr>
        <w:pStyle w:val="ListBullet"/>
      </w:pPr>
      <w:r>
        <w:t>These findings demonstrate that cultural labels do not predict analgesic need at the population level, with implications for any clinician—surgeon, internist, or pain specialist—who prescribes analgesics across the Western Pacific region.</w:t>
      </w:r>
    </w:p>
    <w:p/>
    <w:p>
      <w:r>
        <w:t>We believe this manuscript is particularly suited to The Lancet Regional Health – Western Pacific for several reasons. First, it directly addresses within-region health variation using population-complete data from a major Western Pacific nation, aligning with the journal’s mission to reduce regional health inequities. Second, the ecological design using NDB Open Data parallels the approach of Taira et al (Lancet Reg Health West Pac 2021; 12: 100170), who demonstrated regional inequality in dental care utilisation using the same data source. Third, the clinical message—that cultural stereotyping should not replace individualised pain assessment—has immediate relevance for clinicians treating Japanese and other East Asian patients throughout the Western Pacific region.</w:t>
      </w:r>
    </w:p>
    <w:p>
      <w:r>
        <w:t>The study is reported following the STROBE statement and RECORD extension for observational studies using routinely-collected health data. All data are publicly available from the Japanese Ministry of Health, Labour and Welfare. Analysis code is available on GitHub.</w:t>
      </w:r>
    </w:p>
    <w:p>
      <w:r>
        <w:t>The manuscript has not been published previously, is not under consideration elsewhere, and the author has no competing interests to declare. The author approves the manuscript and agrees to its submission.</w:t>
      </w:r>
    </w:p>
    <w:p>
      <w:r>
        <w:t>Thank you for considering this manuscript. I look forward to hearing from you.</w:t>
      </w:r>
    </w:p>
    <w:p/>
    <w:p>
      <w:r>
        <w:t>Yours sincerely,</w:t>
      </w:r>
    </w:p>
    <w:p/>
    <w:p>
      <w:r>
        <w:rPr>
          <w:b/>
        </w:rPr>
        <w:t>Tatsuki Onishi, MD</w:t>
      </w:r>
    </w:p>
    <w:p>
      <w:r>
        <w:t>Department of Anesthesiology</w:t>
      </w:r>
    </w:p>
    <w:p>
      <w:r>
        <w:t>[Institution]</w:t>
      </w:r>
    </w:p>
    <w:p>
      <w:r>
        <w:t>[Address], [City], [Postal code], Japan</w:t>
      </w:r>
    </w:p>
    <w:p>
      <w:r>
        <w:t>E-mail: [email]</w:t>
      </w:r>
    </w:p>
    <w:sectPr w:rsidR="00FC693F" w:rsidRPr="0006063C" w:rsidSect="00034616">
      <w:pgSz w:w="11906" w:h="16838"/>
      <w:pgMar w:top="1440" w:right="1701"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