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 checklist — cross-sectional/ecological time-series study</w:t>
      </w:r>
    </w:p>
    <w:p>
      <w:pPr>
        <w:spacing w:after="120" w:line="480" w:lineRule="auto"/>
      </w:pPr>
      <w:r>
        <w:t>Strengthening the Reporting of Observational Studies in Epidemiology (STROBE). Item numbering follows the STROBE Statement; the third column indicates where each item is addressed in the manuscript.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 in manuscript</w:t>
            </w:r>
          </w:p>
        </w:tc>
      </w:tr>
      <w:tr>
        <w:tc>
          <w:tcPr>
            <w:tcW w:type="dxa" w:w="2880"/>
          </w:tcPr>
          <w:p>
            <w:r>
              <w:t>1a</w:t>
            </w:r>
          </w:p>
        </w:tc>
        <w:tc>
          <w:tcPr>
            <w:tcW w:type="dxa" w:w="2880"/>
          </w:tcPr>
          <w:p>
            <w:r>
              <w:t>Title/abstract: study design in title or abstract</w:t>
            </w:r>
          </w:p>
        </w:tc>
        <w:tc>
          <w:tcPr>
            <w:tcW w:type="dxa" w:w="2880"/>
          </w:tcPr>
          <w:p>
            <w:r>
              <w:t>Title; Summary (Methods)</w:t>
            </w:r>
          </w:p>
        </w:tc>
      </w:tr>
      <w:tr>
        <w:tc>
          <w:tcPr>
            <w:tcW w:type="dxa" w:w="2880"/>
          </w:tcPr>
          <w:p>
            <w:r>
              <w:t>1b</w:t>
            </w:r>
          </w:p>
        </w:tc>
        <w:tc>
          <w:tcPr>
            <w:tcW w:type="dxa" w:w="2880"/>
          </w:tcPr>
          <w:p>
            <w:r>
              <w:t>Abstract: informative and balanced summary</w:t>
            </w:r>
          </w:p>
        </w:tc>
        <w:tc>
          <w:tcPr>
            <w:tcW w:type="dxa" w:w="2880"/>
          </w:tcPr>
          <w:p>
            <w:r>
              <w:t>Summary (semi-structured)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Background/rationale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Objectives / hypotheses</w:t>
            </w:r>
          </w:p>
        </w:tc>
        <w:tc>
          <w:tcPr>
            <w:tcW w:type="dxa" w:w="2880"/>
          </w:tcPr>
          <w:p>
            <w:r>
              <w:t>Introduction (final sentence)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Study design</w:t>
            </w:r>
          </w:p>
        </w:tc>
        <w:tc>
          <w:tcPr>
            <w:tcW w:type="dxa" w:w="2880"/>
          </w:tcPr>
          <w:p>
            <w:r>
              <w:t>Methods (ecological time-series, quasi-Poisson DLM)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Setting, locations, periods</w:t>
            </w:r>
          </w:p>
        </w:tc>
        <w:tc>
          <w:tcPr>
            <w:tcW w:type="dxa" w:w="2880"/>
          </w:tcPr>
          <w:p>
            <w:r>
              <w:t>Methods (US states 2016-2022; Japan prefectures 2019-2024)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Participants / units of analysis</w:t>
            </w:r>
          </w:p>
        </w:tc>
        <w:tc>
          <w:tcPr>
            <w:tcW w:type="dxa" w:w="2880"/>
          </w:tcPr>
          <w:p>
            <w:r>
              <w:t>Methods (state-day and prefecture-day panels); Table 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Variables (outcome, exposure, confounders)</w:t>
            </w:r>
          </w:p>
        </w:tc>
        <w:tc>
          <w:tcPr>
            <w:tcW w:type="dxa" w:w="2880"/>
          </w:tcPr>
          <w:p>
            <w:r>
              <w:t>Methods (crash deaths; temperature anomaly; adjustments)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Data sources / measurement</w:t>
            </w:r>
          </w:p>
        </w:tc>
        <w:tc>
          <w:tcPr>
            <w:tcW w:type="dxa" w:w="2880"/>
          </w:tcPr>
          <w:p>
            <w:r>
              <w:t>Methods; Data availability (FARS, GHCN-Daily, NPA, CDC WONDER, FHWA, EIA)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Methods (anomaly design); Discussion (limitations)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Study size</w:t>
            </w:r>
          </w:p>
        </w:tc>
        <w:tc>
          <w:tcPr>
            <w:tcW w:type="dxa" w:w="2880"/>
          </w:tcPr>
          <w:p>
            <w:r>
              <w:t>Table 1 (death counts, years, units)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Quantitative variables handling</w:t>
            </w:r>
          </w:p>
        </w:tc>
        <w:tc>
          <w:tcPr>
            <w:tcW w:type="dxa" w:w="2880"/>
          </w:tcPr>
          <w:p>
            <w:r>
              <w:t>Methods (spline lag windows; anomaly construction)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Statistical methods</w:t>
            </w:r>
          </w:p>
        </w:tc>
        <w:tc>
          <w:tcPr>
            <w:tcW w:type="dxa" w:w="2880"/>
          </w:tcPr>
          <w:p>
            <w:r>
              <w:t>Methods (quasi-Poisson DLM, attributable risk, projections, subgroups)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Descriptive data</w:t>
            </w:r>
          </w:p>
        </w:tc>
        <w:tc>
          <w:tcPr>
            <w:tcW w:type="dxa" w:w="2880"/>
          </w:tcPr>
          <w:p>
            <w:r>
              <w:t>Results (panel sizes); Table 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Outcome data</w:t>
            </w:r>
          </w:p>
        </w:tc>
        <w:tc>
          <w:tcPr>
            <w:tcW w:type="dxa" w:w="2880"/>
          </w:tcPr>
          <w:p>
            <w:r>
              <w:t>Results; Tables 2-4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Main results (estimates, CIs)</w:t>
            </w:r>
          </w:p>
        </w:tc>
        <w:tc>
          <w:tcPr>
            <w:tcW w:type="dxa" w:w="2880"/>
          </w:tcPr>
          <w:p>
            <w:r>
              <w:t>Results; Tables 2-5; Figures 1-10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Other analyses (subgroups, sensitivity)</w:t>
            </w:r>
          </w:p>
        </w:tc>
        <w:tc>
          <w:tcPr>
            <w:tcW w:type="dxa" w:w="2880"/>
          </w:tcPr>
          <w:p>
            <w:r>
              <w:t>Results (activity controls, road-user/age/time-of-day, projection)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Key results</w:t>
            </w:r>
          </w:p>
        </w:tc>
        <w:tc>
          <w:tcPr>
            <w:tcW w:type="dxa" w:w="2880"/>
          </w:tcPr>
          <w:p>
            <w:r>
              <w:t>Discussion (first paragraph); Conclusion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Limitations</w:t>
            </w:r>
          </w:p>
        </w:tc>
        <w:tc>
          <w:tcPr>
            <w:tcW w:type="dxa" w:w="2880"/>
          </w:tcPr>
          <w:p>
            <w:r>
              <w:t>Discussion (limitations paragraph)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Discussion; Summary (Interpretation)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Generalisability</w:t>
            </w:r>
          </w:p>
        </w:tc>
        <w:tc>
          <w:tcPr>
            <w:tcW w:type="dxa" w:w="2880"/>
          </w:tcPr>
          <w:p>
            <w:r>
              <w:t>Discussion (ecological scope; US vs Japan)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  <w:tc>
          <w:tcPr>
            <w:tcW w:type="dxa" w:w="2880"/>
          </w:tcPr>
          <w:p>
            <w:r>
              <w:t>Role of the funding source; Summary (Funding)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