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  <w:jc w:val="center"/>
      </w:pPr>
      <w:r>
        <w:rPr>
          <w:rFonts w:ascii="Times New Roman" w:hAnsi="Times New Roman" w:eastAsia="MS Mincho"/>
          <w:b/>
          <w:i w:val="0"/>
          <w:sz w:val="28"/>
        </w:rPr>
        <w:t>TABLE 5. TEMPO-ARTIFACT SHARE OF TFP-GROWTH VARIANCE.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ISO3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mu1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beta</w:t>
            </w:r>
            <w:r>
              <w:rPr>
                <w:rFonts w:ascii="Times New Roman" w:hAnsi="Times New Roman" w:eastAsia="MS Mincho"/>
                <w:b/>
                <w:i/>
                <w:sz w:val="20"/>
                <w:vertAlign w:val="subscript"/>
              </w:rPr>
              <w:t>j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Var(dTFP) M0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Var(dTFP) M2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Tempo share %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Joint share %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Cum TFP M0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Cum TFP M4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Australia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Belgium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Canada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0.788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Chile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19.66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19.33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0.487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China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32.77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31.34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-0.609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0.336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Costa Rica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CRI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12.83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Czech Republic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10.56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Denmark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Estonia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36.52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34.29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6.17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5.93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1.187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0.685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DEU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-53.3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1.204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Greece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GRC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16.88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Hungary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Iceland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13.68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13.38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Ireland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11.45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1.076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1.076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Israel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17.15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Italy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6.49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6.49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JPN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1.029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Latvia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LVA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93.27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90.35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Lithuania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LTU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54.26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51.29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Luxembourg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11.09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Mexico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-8.7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Netherlands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NLD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0.534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New Zealand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NZL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Norway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Portugal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PRT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0.815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1.143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KOR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7.96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1.439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1.496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Slovakia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14.45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0.546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0.547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Slovenia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9.58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Spain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ESP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1.171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Sweden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0.718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0.733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Switzerland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3.53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3.51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Turkey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Kingdom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GBR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0.443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USA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-16.0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0.659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