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pStyle w:val="ListBullet"/>
        <w:spacing w:line="360" w:lineRule="auto" w:after="120"/>
      </w:pPr>
      <w:r>
        <w:t>Hotter-than-normal days are linked to same-day US traffic-crash deaths.</w:t>
      </w:r>
    </w:p>
    <w:p>
      <w:pPr>
        <w:pStyle w:val="ListBullet"/>
        <w:spacing w:line="360" w:lineRule="auto" w:after="120"/>
      </w:pPr>
      <w:r>
        <w:t>The excess is comparable to all officially recorded direct-heat deaths.</w:t>
      </w:r>
    </w:p>
    <w:p>
      <w:pPr>
        <w:pStyle w:val="ListBullet"/>
        <w:spacing w:line="360" w:lineRule="auto" w:after="120"/>
      </w:pPr>
      <w:r>
        <w:t>Motorcyclists, pedestrians and cyclists face the largest heat-attributable risk.</w:t>
      </w:r>
    </w:p>
    <w:p>
      <w:pPr>
        <w:pStyle w:val="ListBullet"/>
        <w:spacing w:line="360" w:lineRule="auto" w:after="120"/>
      </w:pPr>
      <w:r>
        <w:t>Uniform +1 to +3 °C warming would add hundreds of deaths per year.</w:t>
      </w:r>
    </w:p>
    <w:p>
      <w:pPr>
        <w:pStyle w:val="ListBullet"/>
        <w:spacing w:line="360" w:lineRule="auto" w:after="120"/>
      </w:pPr>
      <w:r>
        <w:t>Heat-aware road safety could target an uncounted climate-sensitive burden.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