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Abstract</w:t>
      </w:r>
    </w:p>
    <w:p>
      <w:pPr>
        <w:spacing w:line="480" w:lineRule="auto" w:after="120"/>
      </w:pPr>
      <w:r>
        <w:rPr>
          <w:b/>
        </w:rPr>
        <w:t xml:space="preserve">Background: </w:t>
      </w:r>
      <w:r>
        <w:t>Ambient heat is an established mortality risk factor; because driving continues in heat, fatal crashes may involve heat-related impairment or unrecorded heat illness.</w:t>
      </w:r>
    </w:p>
    <w:p>
      <w:pPr>
        <w:spacing w:line="480" w:lineRule="auto" w:after="120"/>
      </w:pPr>
      <w:r>
        <w:rPr>
          <w:b/>
        </w:rPr>
        <w:t xml:space="preserve">Objectives: </w:t>
      </w:r>
      <w:r>
        <w:t>We quantified the acute association between local heat anomalies and daily traffic-crash mortality in the US and Japan.</w:t>
      </w:r>
    </w:p>
    <w:p>
      <w:pPr>
        <w:spacing w:line="480" w:lineRule="auto" w:after="120"/>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line="480" w:lineRule="auto" w:after="120"/>
      </w:pPr>
      <w:r>
        <w:rPr>
          <w:b/>
        </w:rPr>
        <w:t xml:space="preserve">Results: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line="480" w:lineRule="auto" w:after="120"/>
      </w:pPr>
      <w:r>
        <w:rPr>
          <w:b/>
        </w:rPr>
        <w:t xml:space="preserve">Discussion: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line="480" w:lineRule="auto" w:after="120"/>
      </w:pPr>
      <w:r>
        <w:rPr>
          <w:b/>
        </w:rPr>
        <w:t xml:space="preserve">Keywords: </w:t>
      </w:r>
      <w:r>
        <w:t>heat; traffic crash; mortality; climate change; road safety; distributed-lag model</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sensitivity analyses for the US we added (i) national vehicle-miles travelled (VMT)</w:t>
      </w:r>
      <w:r>
        <w:rPr>
          <w:vertAlign w:val="superscript"/>
        </w:rPr>
        <w:t>10</w:t>
      </w:r>
      <w:r>
        <w:t xml:space="preserve"> and finished-motor-gasoline product supplied</w:t>
      </w:r>
      <w:r>
        <w:rPr>
          <w:vertAlign w:val="superscript"/>
        </w:rPr>
        <w:t>11</w:t>
      </w:r>
      <w:r>
        <w:t xml:space="preserve"> as activity proxies, and (ii) a richer control set with state annual population entered as a log offset</w:t>
      </w:r>
      <w:r>
        <w:rPr>
          <w:vertAlign w:val="superscript"/>
        </w:rPr>
        <w:t>12</w:t>
      </w:r>
      <w:r>
        <w:t>, state annual VMT</w:t>
      </w:r>
      <w:r>
        <w:rPr>
          <w:vertAlign w:val="superscript"/>
        </w:rPr>
        <w:t>13</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vertAlign w:val="superscript"/>
        </w:rPr>
        <w:t>14</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vertAlign w:val="superscript"/>
        </w:rPr>
        <w:t>15</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Sensitivity to activity, precipitation and heat-stress controls is summarized in Table 6.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6.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w:t>
      </w:r>
    </w:p>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w:t>
      </w:r>
    </w:p>
    <w:p/>
    <w:p>
      <w:pPr>
        <w:pStyle w:val="Heading1"/>
      </w:pPr>
      <w:r>
        <w:t>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their batteries, motors and tyres are heat-stressed and may become prone to sudden power loss or brake failure in hot weather,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Eighth, the findings are drawn from the United States and Japan because, among high-income countries with comparably robust road-crash and meteorological data collection, no other country currently provides a fully open, daily, individual-level crash record equivalent to FARS or the Japanese NPA open data; the EU CARE database contains detailed individual accident records but is not publicly available at the daily individual level, and national open road-safety datasets in Europe are not harmonised, so the United States and Japan represent the best available public sources for this study design.</w:t>
      </w:r>
      <w:r>
        <w:rPr>
          <w:vertAlign w:val="superscript"/>
        </w:rPr>
        <w:t>17</w:t>
      </w:r>
      <w:r>
        <w:t xml:space="preserve">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Acknowledgments</w:t>
      </w:r>
    </w:p>
    <w:p>
      <w:pPr>
        <w:spacing w:after="120"/>
      </w:pPr>
      <w:r>
        <w:t>None declared.</w:t>
      </w:r>
    </w:p>
    <w:p>
      <w:pPr>
        <w:pStyle w:val="Heading1"/>
      </w:pPr>
      <w:r>
        <w:t>Author Contributions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AI Disclosure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Lavigne E, Zanobetti A, Schwartz J, et al. 2015. Mortality risk attributable to high and low ambient temperature: a multicountry observational study. Lancet 386(9991):369-375, PMID: 26003380, 10.1016/S0140-6736(14)62114-0.</w:t>
      </w:r>
    </w:p>
    <w:p>
      <w:pPr>
        <w:spacing w:after="80"/>
      </w:pPr>
      <w:r>
        <w:t>2. Basu R. 2009. High ambient temperature and mortality: a review of epidemiologic studies from 2001 to 2008. Environ Health 8:40, PMID: 19758453, 10.1186/1476-069X-8-40.</w:t>
      </w:r>
    </w:p>
    <w:p>
      <w:pPr>
        <w:spacing w:after="80"/>
      </w:pPr>
      <w:r>
        <w:t>3. Liang M, Min M, Guo X, Song Q, Wang H, Li N, et al. 2022. The relationship between ambient temperatures and road traffic injuries: a systematic review and meta-analysis. Environ Sci Pollut Res 29(33):50647-50660, PMID: 35235122, 10.1007/s11356-022-19437-y.</w:t>
      </w:r>
    </w:p>
    <w:p>
      <w:pPr>
        <w:spacing w:after="80"/>
      </w:pPr>
      <w:r>
        <w:t>4. Liang M, Zhao D, Wu Y, Ye P, Wang Y, Yao Z, et al. 2021. Short-term effects of ambient temperature and road traffic accident injuries in Dalian, Northern China: A distributed lag non-linear analysis. Accid Anal Prev 153:106057, PMID: 33647596, 10.1016/j.aap.2021.106057.</w:t>
      </w:r>
    </w:p>
    <w:p>
      <w:pPr>
        <w:spacing w:after="80"/>
      </w:pPr>
      <w:r>
        <w:t>5. National Highway Traffic Safety Administration. n.d. Fatality Analysis Reporting System (FARS). https://www.nhtsa.gov/research-data/fatality-analysis-reporting-system-fars [accessed 22 August 2026].</w:t>
      </w:r>
    </w:p>
    <w:p>
      <w:pPr>
        <w:spacing w:after="80"/>
      </w:pPr>
      <w:r>
        <w:t>6. National Police Agency of Japan. n.d. Traffic accident statistics open data. https://www.npa.go.jp/publications/statistics/koutsuu/opendata/ [accessed 22 August 2026].</w:t>
      </w:r>
    </w:p>
    <w:p>
      <w:pPr>
        <w:spacing w:after="80"/>
      </w:pPr>
      <w:r>
        <w:t>7. Menne MJ, Durre I, Vose RS, Gleason BE, Houston TG. 2012. An overview of the Global Historical Climatology Network-Daily database. J Atmos Ocean Technol 29(7):897-910, 10.1175/JTECH-D-11-00103.1.</w:t>
      </w:r>
    </w:p>
    <w:p>
      <w:pPr>
        <w:spacing w:after="80"/>
      </w:pPr>
      <w:r>
        <w:t>8. Gasparrini A, Armstrong B, Kenward MG. 2010. Distributed lag non-linear models. Stat Med 29(21):2224-2234, PMID: 20812303, 10.1002/sim.3940.</w:t>
      </w:r>
    </w:p>
    <w:p>
      <w:pPr>
        <w:spacing w:after="80"/>
      </w:pPr>
      <w:r>
        <w:t>9. Gasparrini A, Leone M. 2014. Attributable risk from distributed lag models. BMC Med Res Methodol 14:55, PMID: 24758509, 10.1186/1471-2288-14-55.</w:t>
      </w:r>
    </w:p>
    <w:p>
      <w:pPr>
        <w:spacing w:after="80"/>
      </w:pPr>
      <w:r>
        <w:t>10. Federal Highway Administration. n.d. Traffic Volume Trends. https://www.fhwa.dot.gov/policyinformation/travel_monitoring/tvt.cfm [accessed 22 August 2026].</w:t>
      </w:r>
    </w:p>
    <w:p>
      <w:pPr>
        <w:spacing w:after="80"/>
      </w:pPr>
      <w:r>
        <w:t>11. US Energy Information Administration. n.d. Weekly finished motor gasoline product supplied (PET.WGFUPUS2.W). https://www.eia.gov/ [accessed 22 August 2026].</w:t>
      </w:r>
    </w:p>
    <w:p>
      <w:pPr>
        <w:spacing w:after="80"/>
      </w:pPr>
      <w:r>
        <w:t>12. US Census Bureau. n.d. Population Estimates Program. Annual state population estimates. https://www.census.gov/programs-surveys/popest.html [accessed 22 August 2026].</w:t>
      </w:r>
    </w:p>
    <w:p>
      <w:pPr>
        <w:spacing w:after="80"/>
      </w:pPr>
      <w:r>
        <w:t>13. Federal Highway Administration. n.d. Highway Statistics VM-2: Annual state vehicle-miles travelled. https://www.fhwa.dot.gov/policyinformation/statistics.cfm [accessed 22 August 2026].</w:t>
      </w:r>
    </w:p>
    <w:p>
      <w:pPr>
        <w:spacing w:after="80"/>
      </w:pPr>
      <w:r>
        <w:t>14. Centers for Disease Control and Prevention. n.d. CDC WONDER Underlying Cause of Death database. https://wonder.cdc.gov/ [accessed 22 August 2026].</w:t>
      </w:r>
    </w:p>
    <w:p>
      <w:pPr>
        <w:spacing w:after="80"/>
      </w:pPr>
      <w:r>
        <w:t>15. Daanen HAM, van de Vliert E, Huang X. 2003. Driving performance in cold, warm, and thermoneutral environments. Appl Ergon 34(6):597-602, PMID: 14559420, 10.1016/S0003-6870(03)00055-3.</w:t>
      </w:r>
    </w:p>
    <w:p>
      <w:pPr>
        <w:spacing w:after="80"/>
      </w:pPr>
      <w:r>
        <w:t>16. IPCC. 2021. Climate Change 2021: The Physical Science Basis. Contribution of Working Group I to the Sixth Assessment Report of the Intergovernmental Panel on Climate Change. Cambridge: Cambridge University Press.</w:t>
      </w:r>
    </w:p>
    <w:p>
      <w:pPr>
        <w:spacing w:after="80"/>
      </w:pPr>
      <w:r>
        <w:t>17. European Commission, Directorate-General for Mobility and Transport. n.d. Community database on road accidents (CARE). https://road-safety.transport.ec.europa.eu/european-road-safety-observatory/methodology-and-research/care-database_en [accessed 22 August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