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t>Tatsuki Onishi</w:t>
      </w:r>
    </w:p>
    <w:p>
      <w:pPr>
        <w:spacing w:line="360" w:lineRule="auto"/>
      </w:pPr>
      <w:r>
        <w:t>Data Science AI Innovation Research Promotion Center</w:t>
      </w:r>
    </w:p>
    <w:p>
      <w:pPr>
        <w:spacing w:line="360" w:lineRule="auto"/>
      </w:pPr>
      <w:r>
        <w:t>Shiga University</w:t>
      </w:r>
    </w:p>
    <w:p>
      <w:pPr>
        <w:spacing w:line="360" w:lineRule="auto"/>
      </w:pPr>
      <w:r>
        <w:t>1-1-1, Bamba, Hikone, Shiga, 522-8522 Japan</w:t>
      </w:r>
    </w:p>
    <w:p>
      <w:pPr>
        <w:spacing w:line="360" w:lineRule="auto"/>
      </w:pPr>
      <w:r>
        <w:t>Telephone: +81-749-27-1023</w:t>
      </w:r>
    </w:p>
    <w:p>
      <w:pPr>
        <w:spacing w:line="360" w:lineRule="auto"/>
      </w:pPr>
      <w:r>
        <w:t>E-mail: bougtoir@gmail.com</w:t>
      </w:r>
    </w:p>
    <w:p>
      <w:pPr>
        <w:spacing w:line="360" w:lineRule="auto"/>
      </w:pPr>
      <w:r>
        <w:t>ORCID: 0000-0001-7261-9062</w:t>
      </w:r>
    </w:p>
    <w:p>
      <w:pPr>
        <w:spacing w:line="360" w:lineRule="auto"/>
      </w:pPr>
    </w:p>
    <w:p>
      <w:pPr>
        <w:spacing w:line="360" w:lineRule="auto"/>
      </w:pPr>
      <w:r>
        <w:t>19 May 2026</w:t>
      </w:r>
    </w:p>
    <w:p>
      <w:pPr>
        <w:spacing w:line="360" w:lineRule="auto"/>
      </w:pPr>
    </w:p>
    <w:p>
      <w:pPr>
        <w:spacing w:line="360" w:lineRule="auto"/>
      </w:pPr>
      <w:r>
        <w:t>The Editors</w:t>
      </w:r>
    </w:p>
    <w:p>
      <w:pPr>
        <w:spacing w:line="360" w:lineRule="auto"/>
      </w:pPr>
      <w:r>
        <w:rPr>
          <w:i/>
        </w:rPr>
        <w:t>Journal of Economic Dynamics and Control</w:t>
      </w:r>
    </w:p>
    <w:p>
      <w:pPr>
        <w:spacing w:line="360" w:lineRule="auto"/>
      </w:pPr>
    </w:p>
    <w:p>
      <w:pPr>
        <w:spacing w:line="360" w:lineRule="auto"/>
      </w:pPr>
      <w:r>
        <w:t>Dear Editors,</w:t>
      </w:r>
    </w:p>
    <w:p>
      <w:pPr>
        <w:spacing w:line="360" w:lineRule="auto"/>
      </w:pPr>
    </w:p>
    <w:p>
      <w:pPr>
        <w:spacing w:line="360" w:lineRule="auto"/>
      </w:pPr>
      <w:r>
        <w:t xml:space="preserve">I am pleased to submit for your consideration the enclosed manuscript, </w:t>
      </w:r>
      <w:r>
        <w:rPr>
          <w:b/>
        </w:rPr>
        <w:t>"Drifting Time-to-Build and the Forgotten Intangible Share: A Joint Identification of Flow and Stock National Accounts"</w:t>
      </w:r>
      <w:r>
        <w:t xml:space="preserve">, as an Article for the </w:t>
      </w:r>
      <w:r>
        <w:rPr>
          <w:i/>
        </w:rPr>
        <w:t>Journal of Economic Dynamics and Control</w:t>
      </w:r>
      <w:r>
        <w:t>.</w:t>
      </w:r>
    </w:p>
    <w:p>
      <w:pPr>
        <w:spacing w:line="360" w:lineRule="auto"/>
      </w:pPr>
    </w:p>
    <w:p>
      <w:pPr>
        <w:spacing w:line="360" w:lineRule="auto"/>
      </w:pPr>
      <w:r>
        <w:t>The paper ports the Bongaarts–Feeney–Goldstein–Lutz–Scherbov quantum–tempo decomposition from formal demography to capital accounting. I argue that a long-standing tension between flow-based (GDP) and stock-based (CWON, IWI, SEEA) national wealth measures is not a deep ontological problem but a measurement problem of exactly the form demographers solved two decades ago: there is a tempo bias in how investment maps into output (a time-varying time-to-build μ(t)), and there is a "forgotten" parameter (the intangible-capital share β) that plays the same balance-sheet role as Goldstein, Lutz, and Scherbov's parity-specific variance σ.</w:t>
      </w:r>
    </w:p>
    <w:p>
      <w:pPr>
        <w:spacing w:line="360" w:lineRule="auto"/>
      </w:pPr>
    </w:p>
    <w:p>
      <w:pPr>
        <w:spacing w:line="360" w:lineRule="auto"/>
      </w:pPr>
      <w:r>
        <w:t>The empirical contribution has six components. (i) Across 39 OECD and middle-income economies (Penn World Table 10.01, World Bank Changing Wealth of Nations), allowing μ to drift over time reduces the median out-of-sample MAPE of GDP levels on a 2015–2019 holdout from 4.60 % to 3.99 % — a 13 % relative improvement obtained without any new data or stochastic machinery. (ii) A joint production-and-wealth identification rejects μ = 0 for 35/39 countries and β = 0 for 28/39, with bootstrap 95 % regions whose shape varies systematically with R&amp;D intensity. (iii) A Relational PIM diagnostic — transplanting the Brass relational model from demography — shows that the tempo and intangible corrections move the PIM–CWON consistency parameter ρ̂₂ toward unity (median 0.801 → 0.833). (iv) Conditional out-of-sample evaluation restricted to the 14 countries with interior-solution μ̂ reveals that the full-sample MAPE comparison conflates countries for which the tempo correction is genuinely informative with those for which it is mechanically zero: among interior-solution countries, M1 achieves 4.23 % vs M0's 4.27 %. (v) An extended metric — CWON trajectory RMSE on the hold-out years — shows M2 (tempo drift) achieves 15 % lower trajectory error than M0 (0.0072 vs 0.0085), capturing a dimension of model performance that level MAPE misses. (vi) A cross-sectional regression of ρ̂₂ on R&amp;D intensity yields a significant slope under M4 (t = 2.34, R² = 0.129), confirming that the corrections are most effective for innovation-oriented economies.</w:t>
      </w:r>
    </w:p>
    <w:p>
      <w:pPr>
        <w:spacing w:line="360" w:lineRule="auto"/>
      </w:pPr>
    </w:p>
    <w:p>
      <w:pPr>
        <w:spacing w:line="360" w:lineRule="auto"/>
      </w:pPr>
      <w:r>
        <w:t xml:space="preserve">I believe this work is well suited to the </w:t>
      </w:r>
      <w:r>
        <w:rPr>
          <w:i/>
        </w:rPr>
        <w:t>Journal of Economic Dynamics and Control</w:t>
      </w:r>
      <w:r>
        <w:t xml:space="preserve"> for the following reasons. First, the paper develops a dynamic structural model of time-varying time-to-build — the central "time to build" concept that Kydland and Prescott (1982) introduced but that has never been allowed to drift over time. Kaboski (2005), published in JEDC, documented cross-industry heterogeneity in investment lags; our paper extends this into a time-varying framework with joint flow-stock identification. Second, the paper contributes computational methods — a joint identification algorithm that simultaneously estimates production-function parameters against both national-income flow data and national-wealth stock data — which aligns directly with the journal's scope in computational methods for economics. Third, the policy implications for Beyond-GDP measurement, intangible capital accounting, and the reinterpretation of the Solow residual have broad relevance to macroeconomic dynamics and control.</w:t>
      </w:r>
    </w:p>
    <w:p>
      <w:pPr>
        <w:spacing w:line="360" w:lineRule="auto"/>
      </w:pPr>
    </w:p>
    <w:p>
      <w:pPr>
        <w:spacing w:line="360" w:lineRule="auto"/>
      </w:pPr>
      <w:r>
        <w:t>The manuscript is approximately 8,500 words of body text, with nine figures, four tables, and references in author-date style. Submission is via Editorial Manager at editorialmanager.com/jedc.</w:t>
      </w:r>
    </w:p>
    <w:p>
      <w:pPr>
        <w:spacing w:line="360" w:lineRule="auto"/>
      </w:pPr>
    </w:p>
    <w:p>
      <w:pPr>
        <w:spacing w:line="360" w:lineRule="auto"/>
      </w:pPr>
      <w:r>
        <w:t>I confirm the following:</w:t>
      </w:r>
    </w:p>
    <w:p>
      <w:pPr>
        <w:spacing w:line="360" w:lineRule="auto"/>
      </w:pPr>
    </w:p>
    <w:p>
      <w:pPr>
        <w:pStyle w:val="ListBullet"/>
        <w:spacing w:line="360" w:lineRule="auto"/>
      </w:pPr>
      <w:r>
        <w:t>This work is original and has not been published elsewhere.</w:t>
      </w:r>
    </w:p>
    <w:p>
      <w:pPr>
        <w:pStyle w:val="ListBullet"/>
        <w:spacing w:line="360" w:lineRule="auto"/>
      </w:pPr>
      <w:r>
        <w:t>The manuscript is not under consideration by any other journal.</w:t>
      </w:r>
    </w:p>
    <w:p>
      <w:pPr>
        <w:pStyle w:val="ListBullet"/>
        <w:spacing w:line="360" w:lineRule="auto"/>
      </w:pPr>
      <w:r>
        <w:t>All data sources used (Penn World Table 10.01; World Bank Changing Wealth of Nations; World Bank WDI) are publicly available; analysis code, intermediate outputs, and figure-generation scripts are archived in the public companion repository.</w:t>
      </w:r>
    </w:p>
    <w:p>
      <w:pPr>
        <w:pStyle w:val="ListBullet"/>
        <w:spacing w:line="360" w:lineRule="auto"/>
      </w:pPr>
      <w:r>
        <w:t>I am the sole author; the CRediT contribution statement is included on the title page.</w:t>
      </w:r>
    </w:p>
    <w:p>
      <w:pPr>
        <w:pStyle w:val="ListBullet"/>
        <w:spacing w:line="360" w:lineRule="auto"/>
      </w:pPr>
      <w:r>
        <w:t>I have no conflicts of interest, financial or otherwise, related to this work.</w:t>
      </w:r>
    </w:p>
    <w:p>
      <w:pPr>
        <w:pStyle w:val="ListBullet"/>
        <w:spacing w:line="360" w:lineRule="auto"/>
      </w:pPr>
      <w:r>
        <w:t>I used generative AI to assist with formatting the text, choosing words that suited the tone, and writing analysis code; this is declared on the title page following Elsevier's generative AI policy.</w:t>
      </w:r>
    </w:p>
    <w:p>
      <w:pPr>
        <w:pStyle w:val="ListBullet"/>
        <w:spacing w:line="360" w:lineRule="auto"/>
      </w:pPr>
      <w:r>
        <w:t>A companion paper applying the same tempo + hidden-parameter framework to health expenditure is in preparation and is referenced as forthcoming work in Section 6.4.</w:t>
      </w:r>
    </w:p>
    <w:p>
      <w:pPr>
        <w:spacing w:line="360" w:lineRule="auto"/>
      </w:pPr>
    </w:p>
    <w:p>
      <w:pPr>
        <w:spacing w:line="360" w:lineRule="auto"/>
      </w:pPr>
      <w:r>
        <w:t>I would be grateful for your consideration. Suggested reviewers can be provided upon request.</w:t>
      </w:r>
    </w:p>
    <w:p>
      <w:pPr>
        <w:spacing w:line="360" w:lineRule="auto"/>
      </w:pPr>
    </w:p>
    <w:p>
      <w:pPr>
        <w:spacing w:line="360" w:lineRule="auto"/>
      </w:pPr>
      <w:r>
        <w:t>Yours sincerely,</w:t>
      </w:r>
    </w:p>
    <w:p>
      <w:pPr>
        <w:spacing w:line="360" w:lineRule="auto"/>
      </w:pPr>
    </w:p>
    <w:p>
      <w:pPr>
        <w:spacing w:line="360" w:lineRule="auto"/>
      </w:pPr>
      <w:r>
        <w:t>Tatsuki Onishi</w:t>
      </w:r>
    </w:p>
    <w:p>
      <w:pPr>
        <w:spacing w:line="360" w:lineRule="auto"/>
      </w:pPr>
      <w:r>
        <w:t>Data Science AI Innovation Research Promotion Center</w:t>
      </w:r>
    </w:p>
    <w:p>
      <w:pPr>
        <w:spacing w:line="360" w:lineRule="auto"/>
      </w:pPr>
      <w:r>
        <w:t>Shiga University</w:t>
      </w:r>
    </w:p>
    <w:p>
      <w:pPr>
        <w:spacing w:line="360" w:lineRule="auto"/>
      </w:pPr>
      <w:r>
        <w:t>bougtoir@gmail.com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