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t>大西 樹</w:t>
      </w:r>
    </w:p>
    <w:p>
      <w:pPr>
        <w:spacing w:line="360" w:lineRule="auto"/>
      </w:pPr>
      <w:r>
        <w:t>滋賀大学 データサイエンス・AIイノベーション研究推進センター</w:t>
      </w:r>
    </w:p>
    <w:p>
      <w:pPr>
        <w:spacing w:line="360" w:lineRule="auto"/>
      </w:pPr>
      <w:r>
        <w:t>〒522-8522 滋賀県彦根市馬場1-1-1</w:t>
      </w:r>
    </w:p>
    <w:p>
      <w:pPr>
        <w:spacing w:line="360" w:lineRule="auto"/>
      </w:pPr>
      <w:r>
        <w:t>電話：+81-749-27-1023</w:t>
      </w:r>
    </w:p>
    <w:p>
      <w:pPr>
        <w:spacing w:line="360" w:lineRule="auto"/>
      </w:pPr>
      <w:r>
        <w:t>電子メール：bougtoir@gmail.com</w:t>
      </w:r>
    </w:p>
    <w:p>
      <w:pPr>
        <w:spacing w:line="360" w:lineRule="auto"/>
      </w:pPr>
      <w:r>
        <w:t>ORCID：0000-0001-7261-9062</w:t>
      </w:r>
    </w:p>
    <w:p>
      <w:pPr>
        <w:spacing w:line="360" w:lineRule="auto"/>
      </w:pPr>
    </w:p>
    <w:p>
      <w:pPr>
        <w:spacing w:line="360" w:lineRule="auto"/>
      </w:pPr>
      <w:r>
        <w:t>2026年5月19日</w:t>
      </w:r>
    </w:p>
    <w:p>
      <w:pPr>
        <w:spacing w:line="360" w:lineRule="auto"/>
      </w:pPr>
    </w:p>
    <w:p>
      <w:pPr>
        <w:spacing w:line="360" w:lineRule="auto"/>
      </w:pPr>
      <w:r>
        <w:t>The Editors</w:t>
      </w:r>
    </w:p>
    <w:p>
      <w:pPr>
        <w:spacing w:line="360" w:lineRule="auto"/>
      </w:pPr>
      <w:r>
        <w:rPr>
          <w:i/>
        </w:rPr>
        <w:t>Journal of Economic Dynamics and Control</w:t>
      </w:r>
    </w:p>
    <w:p>
      <w:pPr>
        <w:spacing w:line="360" w:lineRule="auto"/>
      </w:pPr>
    </w:p>
    <w:p>
      <w:pPr>
        <w:spacing w:line="360" w:lineRule="auto"/>
      </w:pPr>
      <w:r>
        <w:t>拝啓</w:t>
      </w:r>
    </w:p>
    <w:p>
      <w:pPr>
        <w:spacing w:line="360" w:lineRule="auto"/>
      </w:pPr>
    </w:p>
    <w:p>
      <w:pPr>
        <w:spacing w:line="360" w:lineRule="auto"/>
      </w:pPr>
      <w:r>
        <w:t xml:space="preserve">このたび貴誌 </w:t>
      </w:r>
      <w:r>
        <w:rPr>
          <w:i/>
        </w:rPr>
        <w:t>Journal of Economic Dynamics and Control</w:t>
      </w:r>
      <w:r>
        <w:t xml:space="preserve"> に Article として、下記の原稿を投稿いたします。</w:t>
      </w:r>
    </w:p>
    <w:p>
      <w:pPr>
        <w:spacing w:line="360" w:lineRule="auto"/>
      </w:pPr>
    </w:p>
    <w:p>
      <w:pPr>
        <w:spacing w:line="360" w:lineRule="auto"/>
      </w:pPr>
      <w:r>
        <w:rPr>
          <w:b/>
        </w:rPr>
        <w:t>「Drifting Time-to-Build and the Forgotten Intangible Share: A Joint Identification of Flow and Stock National Accounts」</w:t>
      </w:r>
    </w:p>
    <w:p>
      <w:pPr>
        <w:spacing w:line="360" w:lineRule="auto"/>
      </w:pPr>
    </w:p>
    <w:p>
      <w:pPr>
        <w:spacing w:line="360" w:lineRule="auto"/>
      </w:pPr>
      <w:r>
        <w:t>本稿は、形式人口学で確立された Bongaarts–Feeney–Goldstein–Lutz–Scherbov の quantum–tempo 分解を資本会計に移植する試みです。フロー指標（GDP）とストック指標（CWON, IWI, SEEA）の長年の乖離は存在論的な深い問題ではなく、二〇年前に人口学者が解いた問題と全く同型の計測問題であると主張します。すなわち、投資が産出に変換される過程にはテンポバイアス（時変の time-to-build μ(t)）が存在し、Goldstein–Lutz–Scherbov の σ と同じバランスシート上の役割を果たす「忘れられたパラメータ」（無形資本シェア β）が存在する、ということです。</w:t>
      </w:r>
    </w:p>
    <w:p>
      <w:pPr>
        <w:spacing w:line="360" w:lineRule="auto"/>
      </w:pPr>
    </w:p>
    <w:p>
      <w:pPr>
        <w:spacing w:line="360" w:lineRule="auto"/>
      </w:pPr>
      <w:r>
        <w:t>実証的貢献は六点あります。(i) Penn World Table 10.01 と世界銀行 Changing Wealth of Nations を用いた39の OECD・中所得国において、μ の時変を許すと GDP 水準の標本外 MAPE 中央値（2015–2019 ホールドアウト）が 4.60 % から 3.99 % へ、相対 13 % 改善します。(ii) 生産・国富連立同定は 39 か国中 35 か国で μ = 0 を、28 か国で β = 0 を棄却し、ブートストラップ 95 % 領域の形状は R&amp;D 集約度と系統的に対応します。(iii) 人口学の Brass 関係モデルを資本会計に移植した Relational PIM 診断により、テンポ・無形資本補正で PIM–CWON 整合性パラメータ ρ̂₂ が一致に向かうことを示します（中央値 0.801 → 0.833）。(iv) 内点解 μ̂ を持つ14カ国に限定した条件付き標本外評価では、M1 が 4.23 %（M0 の 4.27 %）を達成し、全標本 MAPE がテンポ補正の有効な国と機械的にゼロの国を混同していたことを示します。(v) CWON 軌跡 RMSE では M2（テンポドリフト）が M0 比 15 % 改善（0.0072 vs 0.0085）し、水準 MAPE が捉えないモデル性能の次元を明らかにします。(vi) ρ̂₂ の R&amp;D 強度に対するクロスセクション回帰は M4 下で有意な傾き（t = 2.34, R² = 0.129）を示し、補正がイノベーション志向経済で最も有効であることを確認します。</w:t>
      </w:r>
    </w:p>
    <w:p>
      <w:pPr>
        <w:spacing w:line="360" w:lineRule="auto"/>
      </w:pPr>
    </w:p>
    <w:p>
      <w:pPr>
        <w:spacing w:line="360" w:lineRule="auto"/>
      </w:pPr>
      <w:r>
        <w:t xml:space="preserve">本稿が </w:t>
      </w:r>
      <w:r>
        <w:rPr>
          <w:i/>
        </w:rPr>
        <w:t>Journal of Economic Dynamics and Control</w:t>
      </w:r>
      <w:r>
        <w:t xml:space="preserve"> に適すると考える理由は以下の通りです。第一に、本稿は Kydland and Prescott (1982) が導入した time-to-build の概念を時変化する動的構造モデルとして発展させています。Kaboski (2005) が JEDC 誌上で産業間の投資ラグ異質性を報告しましたが、本稿はこれを時変枠組へ拡張し、フローとストックの同時同定を実現しています。第二に、国民所得フローデータと国富ストックデータの双方に対して生産関数パラメータを同時推定する計算的手法を開発しており、貴誌の計算経済学に関するスコープに直接該当します。第三に、Beyond-GDP 計測、無形資本会計、およびソロー残差の再解釈に関する政策的含意は、マクロ経済の動態と制御に広く関連します。</w:t>
      </w:r>
    </w:p>
    <w:p>
      <w:pPr>
        <w:spacing w:line="360" w:lineRule="auto"/>
      </w:pPr>
    </w:p>
    <w:p>
      <w:pPr>
        <w:spacing w:line="360" w:lineRule="auto"/>
      </w:pPr>
      <w:r>
        <w:t>原稿は本文約 8,500 語、図 9 点、表 4 点、author-date 形式の参考文献からなります。投稿は Editorial Manager（editorialmanager.com/jedc）経由です。</w:t>
      </w:r>
    </w:p>
    <w:p>
      <w:pPr>
        <w:spacing w:line="360" w:lineRule="auto"/>
      </w:pPr>
    </w:p>
    <w:p>
      <w:pPr>
        <w:spacing w:line="360" w:lineRule="auto"/>
      </w:pPr>
      <w:r>
        <w:t>下記を確認いたします。</w:t>
      </w:r>
    </w:p>
    <w:p>
      <w:pPr>
        <w:spacing w:line="360" w:lineRule="auto"/>
      </w:pPr>
    </w:p>
    <w:p>
      <w:pPr>
        <w:pStyle w:val="ListBullet"/>
        <w:spacing w:line="360" w:lineRule="auto"/>
      </w:pPr>
      <w:r>
        <w:t>本研究はオリジナルであり、他誌・他媒体に掲載されたことはありません。</w:t>
      </w:r>
    </w:p>
    <w:p>
      <w:pPr>
        <w:pStyle w:val="ListBullet"/>
        <w:spacing w:line="360" w:lineRule="auto"/>
      </w:pPr>
      <w:r>
        <w:t>他誌での査読中ではありません。</w:t>
      </w:r>
    </w:p>
    <w:p>
      <w:pPr>
        <w:pStyle w:val="ListBullet"/>
        <w:spacing w:line="360" w:lineRule="auto"/>
      </w:pPr>
      <w:r>
        <w:t>使用したデータ（Penn World Table 10.01、世界銀行 Changing Wealth of Nations、世界銀行 WDI）はいずれも公開データであり、解析コード・中間結果・図表生成スクリプトは公開リポジトリに保管されています。</w:t>
      </w:r>
    </w:p>
    <w:p>
      <w:pPr>
        <w:pStyle w:val="ListBullet"/>
        <w:spacing w:line="360" w:lineRule="auto"/>
      </w:pPr>
      <w:r>
        <w:t>単著であり、CRediT 寄与記述はタイトルページに記載しています。</w:t>
      </w:r>
    </w:p>
    <w:p>
      <w:pPr>
        <w:pStyle w:val="ListBullet"/>
        <w:spacing w:line="360" w:lineRule="auto"/>
      </w:pPr>
      <w:r>
        <w:t>経済的・その他いかなる利益相反もありません。</w:t>
      </w:r>
    </w:p>
    <w:p>
      <w:pPr>
        <w:pStyle w:val="ListBullet"/>
        <w:spacing w:line="360" w:lineRule="auto"/>
      </w:pPr>
      <w:r>
        <w:t>文章の整形・語感調整・コード作成支援に生成 AI を使用しました。Elsevier の生成 AI ポリシーに従い、タイトルページにて開示しています。</w:t>
      </w:r>
    </w:p>
    <w:p>
      <w:pPr>
        <w:pStyle w:val="ListBullet"/>
        <w:spacing w:line="360" w:lineRule="auto"/>
      </w:pPr>
      <w:r>
        <w:t>同一のテンポ＋隠れパラメータ枠組を医療費に適用する姉妹論文を準備中であり、別途投稿予定です。本稿§6.4 で forthcoming として参照しています。</w:t>
      </w:r>
    </w:p>
    <w:p>
      <w:pPr>
        <w:spacing w:line="360" w:lineRule="auto"/>
      </w:pPr>
    </w:p>
    <w:p>
      <w:pPr>
        <w:spacing w:line="360" w:lineRule="auto"/>
      </w:pPr>
      <w:r>
        <w:t>ご検討のほど、何卒よろしくお願い申し上げます。ご要望があれば推薦査読者をお送りいたします。</w:t>
      </w:r>
    </w:p>
    <w:p>
      <w:pPr>
        <w:spacing w:line="360" w:lineRule="auto"/>
      </w:pPr>
    </w:p>
    <w:p>
      <w:pPr>
        <w:spacing w:line="360" w:lineRule="auto"/>
      </w:pPr>
      <w:r>
        <w:t>敬具</w:t>
      </w:r>
    </w:p>
    <w:p>
      <w:pPr>
        <w:spacing w:line="360" w:lineRule="auto"/>
      </w:pPr>
    </w:p>
    <w:p>
      <w:pPr>
        <w:spacing w:line="360" w:lineRule="auto"/>
      </w:pPr>
      <w:r>
        <w:t>大西 樹</w:t>
      </w:r>
    </w:p>
    <w:p>
      <w:pPr>
        <w:spacing w:line="360" w:lineRule="auto"/>
      </w:pPr>
      <w:r>
        <w:t>滋賀大学 データサイエンス・AIイノベーション研究推進センター</w:t>
      </w:r>
    </w:p>
    <w:p>
      <w:pPr>
        <w:spacing w:line="360" w:lineRule="auto"/>
      </w:pPr>
      <w:r>
        <w:t>bougtoir@gmail.com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