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</w:pPr>
      <w:r>
        <w:rPr>
          <w:rFonts w:ascii="Times New Roman" w:hAnsi="Times New Roman" w:eastAsia="MS Mincho"/>
          <w:b/>
          <w:i w:val="0"/>
          <w:sz w:val="28"/>
        </w:rPr>
        <w:t>Table 2. M0-M4: in-sample and out-of-sample performance across 39 countries.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median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IQR (pp)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Level MAPE median (%)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OOS MAPE median (%)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(Solow baseline)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[2.03, 3.85]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Constant lag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Time-varying lag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(t) =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₀ + </w:t>
            </w:r>
            <w:r>
              <w:rPr>
                <w:rFonts w:ascii="Times New Roman" w:hAnsi="Times New Roman" w:eastAsia="MS Mincho"/>
                <w:b w:val="0"/>
                <w:i/>
                <w:sz w:val="20"/>
              </w:rPr>
              <w:t>μ</w:t>
            </w:r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₁(t − t₀)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4.189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+ intangible Kᵢ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tempo+intangible (GDP &amp; CWON)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[2.08, 3.82]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