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3,407 cesarean deliveries performed at a single institution between April 2014 and October 2024. After exclusion criteria, 3,164 cases (singleton 2,824; twin 340)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(1.9%) and twin (1.5%) groups (adjusted odds ratio [aOR] 0.81, 95% confidence interval [CI] 0.31–2.14, P = 0.676). In contrast, under the narrow definition (5-HT3 antagonists), IONV was significantly higher in the twin group (0.9% vs 0.2%; aOR 3.47, 95% CI 0.80–14.98, P = 0.096). This finding was robust across covariate sensitivity analyses, emergency subgroup stratification, and 10,000-replicate stratified bootstrap validation. Intraoperative hypotension (SBP &lt;90 mmHg), a secondary outcome, was less frequent in the twin group (44.4%) than in the singleton group (52.9%; P = 0.003).</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Conversely, intraoperative hypotension was less frequent in the twin group, suggesting that non-hypotensive pathways may contribute to IONV in twin pregnancies.</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The principal mechanisms of IONV include: (1) hypotension resulting from sympathetic blockade during spinal anesthesia; (2) gut hypoperfusion and serotonin release due to redistribution of circulating blood volume; (3) unopposed vagal activity under sympathetic blockade; (4) visceral stimulation from uterine manipulation and peritoneal traction; and (5) uterotonic (oxytocin) administration</w:t>
      </w:r>
      <w:r>
        <w:rPr>
          <w:sz w:val="16"/>
          <w:vertAlign w:val="superscript"/>
        </w:rPr>
        <w:t>2,12</w:t>
      </w:r>
      <w:r>
        <w:t>.</w:t>
      </w:r>
    </w:p>
    <w:p>
      <w:r>
        <w:t>Twin pregnancies possess physiological characteristics that may amplify each of these mechanisms. Compared with singleton pregnancies, twins are associated with an approximately 400 mL greater increase in circulating blood volume, as well as greater increases in heart rate, stroke volume, and cardiac index</w:t>
      </w:r>
      <w:r>
        <w:rPr>
          <w:sz w:val="16"/>
          <w:vertAlign w:val="superscript"/>
        </w:rPr>
        <w:t>13</w:t>
      </w:r>
      <w:r>
        <w:t>. Moreover, aortocaval compression by the larger uterus is more frequent and severe in twin pregnancies, and this effect is exacerbated by neuraxial anesthesia, predisposing to profound hypotension</w:t>
      </w:r>
      <w:r>
        <w:rPr>
          <w:sz w:val="16"/>
          <w:vertAlign w:val="superscript"/>
        </w:rPr>
        <w:t>9,13</w:t>
      </w:r>
      <w:r>
        <w:t>. These observations suggest that twin pregnancy may theoretically increase the risk of IONV.</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3,407 patients who underwent cesarean delivery at Juntendo University Shizuoka Hospital between April 1, 2014, and October 23, 2024, were eligible for inclusion (singleton 3,043; twin 364).</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non-cesarean delivery, cardiac arrest, missing anesthesia data. Additionally, 55 cases with antiemetic administration before induction of anesthesia were excluded as prophylactic use.</w:t>
      </w:r>
    </w:p>
    <w:p>
      <w:r>
        <w:t>After applying these criteria, 3,164 cases (singleton 2,824; twin 340) were included in the primary analysis (Fig. 1).</w:t>
      </w:r>
    </w:p>
    <w:p>
      <w:pPr>
        <w:spacing w:before="320"/>
        <w:jc w:val="center"/>
      </w:pPr>
      <w:r>
        <w:drawing>
          <wp:inline xmlns:a="http://schemas.openxmlformats.org/drawingml/2006/main" xmlns:pic="http://schemas.openxmlformats.org/drawingml/2006/picture">
            <wp:extent cx="5029200" cy="807066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807066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fetal delivery. The following seven agents were included: metoclopramide, droperidol, ondansetron, granisetron, novamin (prochlorperazine), hydroxyzine (Atarax-P), and dexamethasone.</w:t>
        <w:br/>
        <w:t>Secondary outcome: IONV was defined as antiemetic administration from anesthesia induction to leaving the operating room.</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r>
        <w:rPr>
          <w:b/>
        </w:rPr>
        <w:t>Secondary outcome: intraoperative hypotension</w:t>
      </w:r>
    </w:p>
    <w:p>
      <w:r>
        <w:t>As a secondary outcome, the frequency of intraoperative hypotension was assessed. Hypotension was defined as systolic blood pressure &lt;90 mmHg, and the number of recorded episodes during surgery was used. Because hypotension was also used as a covariate in the IONV analysis, only descriptive statistics were used for between-group comparison.</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3,479 cesarean deliveries in the database, 72 cases outside the study period (before April 2014; singleton 70, twin 2) were excluded, leaving 3,407 cases for eligibility assessment. Of the 3,407 cesarean deliveries during the study period, 188 cases were excluded: general anesthesia (n = 142), systolic blood pressure &lt;90 mmHg at admission (n = 12), intrauterine fetal death (n = 13), vanishing twin (n = 3), triplet pregnancy (n = 5), non-cesarean delivery (n = 2), cardiac arrest (n = 1), and missing anesthesia data (n = 10). An additional 55 cases with preoperative antiemetic use were excluded, yielding a final analytical cohort of 3,164 cases (singleton 2,824; twin 340) (Fig. 1).</w:t>
      </w:r>
    </w:p>
    <w:p>
      <w:r>
        <w:t>Among the 340 twin pregnancies, chorionicity was dichorionic-diamniotic (DD) in 0, monochorionic-diamniotic (MD) in 0, and monochorionic-monoamniotic (MM) in 0. By urgency, 0 (0.0%) were elective and 0 (0.0%) were emergency cesarean deliveries.</w:t>
      </w:r>
    </w:p>
    <w:p>
      <w:pPr>
        <w:pStyle w:val="Heading2"/>
      </w:pPr>
      <w:r>
        <w:rPr>
          <w:color w:val="000000"/>
        </w:rPr>
        <w:t>Baseline Characteristics (STROBE Item 15)</w:t>
      </w:r>
    </w:p>
    <w:p>
      <w:r>
        <w:t>Baseline characteristics of the 3,164 analyzed patients are presented in Table 1.</w:t>
      </w:r>
    </w:p>
    <w:p>
      <w:r>
        <w:rPr>
          <w:b/>
        </w:rPr>
        <w:t>Table 1. Baseline Characteristics (Singleton n = 2,824 vs Twin n = 340)</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2,824)</w:t>
            </w:r>
          </w:p>
        </w:tc>
        <w:tc>
          <w:tcPr>
            <w:tcW w:type="dxa" w:w="2160"/>
          </w:tcPr>
          <w:p>
            <w:r>
              <w:rPr>
                <w:b/>
                <w:sz w:val="18"/>
              </w:rPr>
              <w:t>Twin (n = 340)</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[29.0–35.2]</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25.4 [22.8–28.0]</w:t>
            </w:r>
          </w:p>
        </w:tc>
        <w:tc>
          <w:tcPr>
            <w:tcW w:type="dxa" w:w="2160"/>
          </w:tcPr>
          <w:p>
            <w:r>
              <w:rPr>
                <w:sz w:val="18"/>
              </w:rPr>
              <w:t>0.169</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47.5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[51.0–68.0]</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1190.0 [915.0–1672.5]</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0.062</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0.003</w:t>
            </w:r>
          </w:p>
        </w:tc>
      </w:tr>
      <w:tr>
        <w:tc>
          <w:tcPr>
            <w:tcW w:type="dxa" w:w="2160"/>
          </w:tcPr>
          <w:p>
            <w:r>
              <w:rPr>
                <w:sz w:val="18"/>
              </w:rPr>
              <w:t>Emergency CS</w:t>
            </w:r>
          </w:p>
        </w:tc>
        <w:tc>
          <w:tcPr>
            <w:tcW w:type="dxa" w:w="2160"/>
          </w:tcPr>
          <w:p>
            <w:r>
              <w:rPr>
                <w:sz w:val="18"/>
              </w:rPr>
              <w:t>1320/2824 (46.7%)</w:t>
            </w:r>
          </w:p>
        </w:tc>
        <w:tc>
          <w:tcPr>
            <w:tcW w:type="dxa" w:w="2160"/>
          </w:tcPr>
          <w:p>
            <w:r>
              <w:rPr>
                <w:sz w:val="18"/>
              </w:rPr>
              <w:t>121/340 (35.6%)</w:t>
            </w:r>
          </w:p>
        </w:tc>
        <w:tc>
          <w:tcPr>
            <w:tcW w:type="dxa" w:w="2160"/>
          </w:tcPr>
          <w:p>
            <w:r>
              <w:rPr>
                <w:sz w:val="18"/>
              </w:rPr>
              <w:t>&lt; 0.001</w:t>
            </w:r>
          </w:p>
        </w:tc>
      </w:tr>
      <w:tr>
        <w:tc>
          <w:tcPr>
            <w:tcW w:type="dxa" w:w="2160"/>
          </w:tcPr>
          <w:p>
            <w:r>
              <w:rPr>
                <w:sz w:val="18"/>
              </w:rPr>
              <w:t>Prior CS</w:t>
            </w:r>
          </w:p>
        </w:tc>
        <w:tc>
          <w:tcPr>
            <w:tcW w:type="dxa" w:w="2160"/>
          </w:tcPr>
          <w:p>
            <w:r>
              <w:rPr>
                <w:sz w:val="18"/>
              </w:rPr>
              <w:t>1272/2824 (45.0%)</w:t>
            </w:r>
          </w:p>
        </w:tc>
        <w:tc>
          <w:tcPr>
            <w:tcW w:type="dxa" w:w="2160"/>
          </w:tcPr>
          <w:p>
            <w:r>
              <w:rPr>
                <w:sz w:val="18"/>
              </w:rPr>
              <w:t>40/340 (11.8%)</w:t>
            </w:r>
          </w:p>
        </w:tc>
        <w:tc>
          <w:tcPr>
            <w:tcW w:type="dxa" w:w="2160"/>
          </w:tcPr>
          <w:p>
            <w:r>
              <w:rPr>
                <w:sz w:val="18"/>
              </w:rPr>
              <w:t>&lt; 0.001</w:t>
            </w:r>
          </w:p>
        </w:tc>
      </w:tr>
      <w:tr>
        <w:tc>
          <w:tcPr>
            <w:tcW w:type="dxa" w:w="2160"/>
          </w:tcPr>
          <w:p>
            <w:r>
              <w:rPr>
                <w:sz w:val="18"/>
              </w:rPr>
              <w:t>HDP</w:t>
            </w:r>
          </w:p>
        </w:tc>
        <w:tc>
          <w:tcPr>
            <w:tcW w:type="dxa" w:w="2160"/>
          </w:tcPr>
          <w:p>
            <w:r>
              <w:rPr>
                <w:sz w:val="18"/>
              </w:rPr>
              <w:t>279/2824 (9.9%)</w:t>
            </w:r>
          </w:p>
        </w:tc>
        <w:tc>
          <w:tcPr>
            <w:tcW w:type="dxa" w:w="2160"/>
          </w:tcPr>
          <w:p>
            <w:r>
              <w:rPr>
                <w:sz w:val="18"/>
              </w:rPr>
              <w:t>33/340 (9.7%)</w:t>
            </w:r>
          </w:p>
        </w:tc>
        <w:tc>
          <w:tcPr>
            <w:tcW w:type="dxa" w:w="2160"/>
          </w:tcPr>
          <w:p>
            <w:r>
              <w:rPr>
                <w:sz w:val="18"/>
              </w:rPr>
              <w:t>0.919</w:t>
            </w:r>
          </w:p>
        </w:tc>
      </w:tr>
      <w:tr>
        <w:tc>
          <w:tcPr>
            <w:tcW w:type="dxa" w:w="2160"/>
          </w:tcPr>
          <w:p>
            <w:r>
              <w:rPr>
                <w:sz w:val="18"/>
              </w:rPr>
              <w:t>Preoperative steroid</w:t>
            </w:r>
          </w:p>
        </w:tc>
        <w:tc>
          <w:tcPr>
            <w:tcW w:type="dxa" w:w="2160"/>
          </w:tcPr>
          <w:p>
            <w:r>
              <w:rPr>
                <w:sz w:val="18"/>
              </w:rPr>
              <w:t>204/2817 (7.2%)</w:t>
            </w:r>
          </w:p>
        </w:tc>
        <w:tc>
          <w:tcPr>
            <w:tcW w:type="dxa" w:w="2160"/>
          </w:tcPr>
          <w:p>
            <w:r>
              <w:rPr>
                <w:sz w:val="18"/>
              </w:rPr>
              <w:t>25/340 (7.4%)</w:t>
            </w:r>
          </w:p>
        </w:tc>
        <w:tc>
          <w:tcPr>
            <w:tcW w:type="dxa" w:w="2160"/>
          </w:tcPr>
          <w:p>
            <w:r>
              <w:rPr>
                <w:sz w:val="18"/>
              </w:rPr>
              <w:t>0.940</w:t>
            </w:r>
          </w:p>
        </w:tc>
      </w:tr>
      <w:tr>
        <w:tc>
          <w:tcPr>
            <w:tcW w:type="dxa" w:w="2160"/>
          </w:tcPr>
          <w:p>
            <w:r>
              <w:rPr>
                <w:sz w:val="18"/>
              </w:rPr>
              <w:t>Epidural anesthesia</w:t>
            </w:r>
          </w:p>
        </w:tc>
        <w:tc>
          <w:tcPr>
            <w:tcW w:type="dxa" w:w="2160"/>
          </w:tcPr>
          <w:p>
            <w:r>
              <w:rPr>
                <w:sz w:val="18"/>
              </w:rPr>
              <w:t>894/2824 (31.7%)</w:t>
            </w:r>
          </w:p>
        </w:tc>
        <w:tc>
          <w:tcPr>
            <w:tcW w:type="dxa" w:w="2160"/>
          </w:tcPr>
          <w:p>
            <w:r>
              <w:rPr>
                <w:sz w:val="18"/>
              </w:rPr>
              <w:t>103/340 (30.3%)</w:t>
            </w:r>
          </w:p>
        </w:tc>
        <w:tc>
          <w:tcPr>
            <w:tcW w:type="dxa" w:w="2160"/>
          </w:tcPr>
          <w:p>
            <w:r>
              <w:rPr>
                <w:sz w:val="18"/>
              </w:rPr>
              <w:t>0.609</w:t>
            </w:r>
          </w:p>
        </w:tc>
      </w:tr>
      <w:tr>
        <w:tc>
          <w:tcPr>
            <w:tcW w:type="dxa" w:w="2160"/>
          </w:tcPr>
          <w:p>
            <w:r>
              <w:rPr>
                <w:sz w:val="18"/>
              </w:rPr>
              <w:t>Hypotension (SBP &lt; 90)</w:t>
            </w:r>
          </w:p>
        </w:tc>
        <w:tc>
          <w:tcPr>
            <w:tcW w:type="dxa" w:w="2160"/>
          </w:tcPr>
          <w:p>
            <w:r>
              <w:rPr>
                <w:sz w:val="18"/>
              </w:rPr>
              <w:t>1494/2823 (52.9%)</w:t>
            </w:r>
          </w:p>
        </w:tc>
        <w:tc>
          <w:tcPr>
            <w:tcW w:type="dxa" w:w="2160"/>
          </w:tcPr>
          <w:p>
            <w:r>
              <w:rPr>
                <w:sz w:val="18"/>
              </w:rPr>
              <w:t>151/340 (44.4%)</w:t>
            </w:r>
          </w:p>
        </w:tc>
        <w:tc>
          <w:tcPr>
            <w:tcW w:type="dxa" w:w="2160"/>
          </w:tcPr>
          <w:p>
            <w:r>
              <w:rPr>
                <w:sz w:val="18"/>
              </w:rPr>
              <w:t>0.003</w:t>
            </w:r>
          </w:p>
        </w:tc>
      </w:tr>
    </w:tbl>
    <w:p>
      <w:r>
        <w:rPr>
          <w:i/>
          <w:sz w:val="16"/>
        </w:rPr>
        <w:t>Continuous variables are presented as median [interquartile range]. Categorical variables are presented as n/N (%). Continuous variables were compared using the Mann-Whitney U test; categorical variables were compared using Pearson’s χ² test (or Fisher’s exact test when any expected cell count was &lt;5).</w:t>
      </w:r>
    </w:p>
    <w:p/>
    <w:p>
      <w:pPr>
        <w:pStyle w:val="Heading2"/>
      </w:pPr>
      <w:r>
        <w:rPr>
          <w:color w:val="000000"/>
        </w:rPr>
        <w:t>IONV Incidence (STROBE Item 16)</w:t>
      </w:r>
    </w:p>
    <w:p>
      <w:r>
        <w:t>Under the broad definition, the primary-outcome IONV rate was 1.9% (54/2,824) in the singleton group and 1.5% (5/340) in the twin group (Table 2, Fig. 2).</w:t>
      </w:r>
    </w:p>
    <w:p>
      <w:r>
        <w:t>Under the narrow definition (5-HT3 antagonists), the IONV rate was 0.2% (6/2,824) in the singleton group and 0.9% (3/340)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0.81</w:t>
            </w:r>
          </w:p>
        </w:tc>
        <w:tc>
          <w:tcPr>
            <w:tcW w:type="dxa" w:w="1234"/>
          </w:tcPr>
          <w:p>
            <w:r>
              <w:rPr>
                <w:sz w:val="16"/>
              </w:rPr>
              <w:t>0.31–2.14</w:t>
            </w:r>
          </w:p>
        </w:tc>
        <w:tc>
          <w:tcPr>
            <w:tcW w:type="dxa" w:w="1234"/>
          </w:tcPr>
          <w:p>
            <w:r>
              <w:rPr>
                <w:sz w:val="16"/>
              </w:rPr>
              <w:t>0.676</w:t>
            </w:r>
          </w:p>
        </w:tc>
      </w:tr>
      <w:tr>
        <w:tc>
          <w:tcPr>
            <w:tcW w:type="dxa" w:w="1234"/>
          </w:tcPr>
          <w:p>
            <w:r>
              <w:rPr>
                <w:sz w:val="16"/>
              </w:rPr>
              <w:t>Broad, Secondary</w:t>
            </w:r>
          </w:p>
        </w:tc>
        <w:tc>
          <w:tcPr>
            <w:tcW w:type="dxa" w:w="1234"/>
          </w:tcPr>
          <w:p>
            <w:r>
              <w:rPr>
                <w:sz w:val="16"/>
              </w:rPr>
              <w:t>501 (17.7%)</w:t>
            </w:r>
          </w:p>
        </w:tc>
        <w:tc>
          <w:tcPr>
            <w:tcW w:type="dxa" w:w="1234"/>
          </w:tcPr>
          <w:p>
            <w:r>
              <w:rPr>
                <w:sz w:val="16"/>
              </w:rPr>
              <w:t>58 (17.1%)</w:t>
            </w:r>
          </w:p>
        </w:tc>
        <w:tc>
          <w:tcPr>
            <w:tcW w:type="dxa" w:w="1234"/>
          </w:tcPr>
          <w:p>
            <w:r>
              <w:rPr>
                <w:sz w:val="16"/>
              </w:rPr>
              <w:t>full</w:t>
            </w:r>
          </w:p>
        </w:tc>
        <w:tc>
          <w:tcPr>
            <w:tcW w:type="dxa" w:w="1234"/>
          </w:tcPr>
          <w:p>
            <w:r>
              <w:rPr>
                <w:sz w:val="16"/>
              </w:rPr>
              <w:t>0.92</w:t>
            </w:r>
          </w:p>
        </w:tc>
        <w:tc>
          <w:tcPr>
            <w:tcW w:type="dxa" w:w="1234"/>
          </w:tcPr>
          <w:p>
            <w:r>
              <w:rPr>
                <w:sz w:val="16"/>
              </w:rPr>
              <w:t>0.67–1.26</w:t>
            </w:r>
          </w:p>
        </w:tc>
        <w:tc>
          <w:tcPr>
            <w:tcW w:type="dxa" w:w="1234"/>
          </w:tcPr>
          <w:p>
            <w:r>
              <w:rPr>
                <w:sz w:val="16"/>
              </w:rPr>
              <w:t>0.616</w:t>
            </w:r>
          </w:p>
        </w:tc>
      </w:tr>
      <w:tr>
        <w:tc>
          <w:tcPr>
            <w:tcW w:type="dxa" w:w="1234"/>
          </w:tcPr>
          <w:p>
            <w:r>
              <w:rPr>
                <w:sz w:val="16"/>
              </w:rPr>
              <w:t>Narrow, Primary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3.47</w:t>
            </w:r>
          </w:p>
        </w:tc>
        <w:tc>
          <w:tcPr>
            <w:tcW w:type="dxa" w:w="1234"/>
          </w:tcPr>
          <w:p>
            <w:r>
              <w:rPr>
                <w:sz w:val="16"/>
              </w:rPr>
              <w:t>0.80–14.98</w:t>
            </w:r>
          </w:p>
        </w:tc>
        <w:tc>
          <w:tcPr>
            <w:tcW w:type="dxa" w:w="1234"/>
          </w:tcPr>
          <w:p>
            <w:r>
              <w:rPr>
                <w:sz w:val="16"/>
              </w:rPr>
              <w:t>0.096</w:t>
            </w:r>
          </w:p>
        </w:tc>
      </w:tr>
      <w:tr>
        <w:tc>
          <w:tcPr>
            <w:tcW w:type="dxa" w:w="1234"/>
          </w:tcPr>
          <w:p>
            <w:r>
              <w:rPr>
                <w:sz w:val="16"/>
              </w:rPr>
              <w:t>Narrow, Secondary</w:t>
            </w:r>
          </w:p>
        </w:tc>
        <w:tc>
          <w:tcPr>
            <w:tcW w:type="dxa" w:w="1234"/>
          </w:tcPr>
          <w:p>
            <w:r>
              <w:rPr>
                <w:sz w:val="16"/>
              </w:rPr>
              <w:t>25 (0.9%)</w:t>
            </w:r>
          </w:p>
        </w:tc>
        <w:tc>
          <w:tcPr>
            <w:tcW w:type="dxa" w:w="1234"/>
          </w:tcPr>
          <w:p>
            <w:r>
              <w:rPr>
                <w:sz w:val="16"/>
              </w:rPr>
              <w:t>8 (2.4%)</w:t>
            </w:r>
          </w:p>
        </w:tc>
        <w:tc>
          <w:tcPr>
            <w:tcW w:type="dxa" w:w="1234"/>
          </w:tcPr>
          <w:p>
            <w:r>
              <w:rPr>
                <w:sz w:val="16"/>
              </w:rPr>
              <w:t>reduced</w:t>
            </w:r>
          </w:p>
        </w:tc>
        <w:tc>
          <w:tcPr>
            <w:tcW w:type="dxa" w:w="1234"/>
          </w:tcPr>
          <w:p>
            <w:r>
              <w:rPr>
                <w:sz w:val="16"/>
              </w:rPr>
              <w:t>3.16</w:t>
            </w:r>
          </w:p>
        </w:tc>
        <w:tc>
          <w:tcPr>
            <w:tcW w:type="dxa" w:w="1234"/>
          </w:tcPr>
          <w:p>
            <w:r>
              <w:rPr>
                <w:sz w:val="16"/>
              </w:rPr>
              <w:t>1.37–7.32</w:t>
            </w:r>
          </w:p>
        </w:tc>
        <w:tc>
          <w:tcPr>
            <w:tcW w:type="dxa" w:w="1234"/>
          </w:tcPr>
          <w:p>
            <w:r>
              <w:rPr>
                <w:sz w:val="16"/>
              </w:rPr>
              <w:t>0.007</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0.81, 95% CI 0.31–2.14, P = 0.676).</w:t>
      </w:r>
    </w:p>
    <w:p>
      <w:r>
        <w:t>Under the narrow definition, only 9 events were observed, necessitating the use of a reduced model. Twin pregnancy was significantly associated with 5-HT3 antagonist use (aOR 3.47, 95% CI 0.80–14.98, P = 0.096) (Fig. 3).</w:t>
      </w:r>
    </w:p>
    <w:p>
      <w:pPr>
        <w:spacing w:before="320"/>
        <w:jc w:val="center"/>
      </w:pPr>
      <w:r>
        <w:drawing>
          <wp:inline xmlns:a="http://schemas.openxmlformats.org/drawingml/2006/main" xmlns:pic="http://schemas.openxmlformats.org/drawingml/2006/picture">
            <wp:extent cx="5486400" cy="3268926"/>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8926"/>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Secondary Outcome: Intraoperative Hypotension (STROBE Item 17)</w:t>
      </w:r>
    </w:p>
    <w:p>
      <w:r>
        <w:t>Intraoperative hypotension (SBP &lt;90 mmHg) occurred in 1,494/2,824 singleton cases (52.9%) and 151/340 twin cases (44.4%), with a significantly lower rate in the twin group (P = 0.003). The median number of hypotensive episodes [interquartile range] was 1 [0–2] in singletons and 0 [0–2] in twins (P = 0.003).</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19 models, the aOR for twin pregnancy ranged from 3.12 to 5.95, and 10/19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4.18</w:t>
            </w:r>
          </w:p>
        </w:tc>
        <w:tc>
          <w:tcPr>
            <w:tcW w:type="dxa" w:w="2160"/>
          </w:tcPr>
          <w:p>
            <w:r>
              <w:rPr>
                <w:sz w:val="18"/>
              </w:rPr>
              <w:t>1.04–16.79</w:t>
            </w:r>
          </w:p>
        </w:tc>
        <w:tc>
          <w:tcPr>
            <w:tcW w:type="dxa" w:w="2160"/>
          </w:tcPr>
          <w:p>
            <w:r>
              <w:rPr>
                <w:sz w:val="18"/>
              </w:rPr>
              <w:t>0.044</w:t>
            </w:r>
          </w:p>
        </w:tc>
      </w:tr>
      <w:tr>
        <w:tc>
          <w:tcPr>
            <w:tcW w:type="dxa" w:w="2160"/>
          </w:tcPr>
          <w:p>
            <w:r>
              <w:rPr>
                <w:sz w:val="18"/>
              </w:rPr>
              <w:t>Twin + Age (per year)</w:t>
            </w:r>
          </w:p>
        </w:tc>
        <w:tc>
          <w:tcPr>
            <w:tcW w:type="dxa" w:w="2160"/>
          </w:tcPr>
          <w:p>
            <w:r>
              <w:rPr>
                <w:sz w:val="18"/>
              </w:rPr>
              <w:t>4.14</w:t>
            </w:r>
          </w:p>
        </w:tc>
        <w:tc>
          <w:tcPr>
            <w:tcW w:type="dxa" w:w="2160"/>
          </w:tcPr>
          <w:p>
            <w:r>
              <w:rPr>
                <w:sz w:val="18"/>
              </w:rPr>
              <w:t>1.02–16.83</w:t>
            </w:r>
          </w:p>
        </w:tc>
        <w:tc>
          <w:tcPr>
            <w:tcW w:type="dxa" w:w="2160"/>
          </w:tcPr>
          <w:p>
            <w:r>
              <w:rPr>
                <w:sz w:val="18"/>
              </w:rPr>
              <w:t>0.047</w:t>
            </w:r>
          </w:p>
        </w:tc>
      </w:tr>
      <w:tr>
        <w:tc>
          <w:tcPr>
            <w:tcW w:type="dxa" w:w="2160"/>
          </w:tcPr>
          <w:p>
            <w:r>
              <w:rPr>
                <w:sz w:val="18"/>
              </w:rPr>
              <w:t>Twin + BMI (per kg/m²)</w:t>
            </w:r>
          </w:p>
        </w:tc>
        <w:tc>
          <w:tcPr>
            <w:tcW w:type="dxa" w:w="2160"/>
          </w:tcPr>
          <w:p>
            <w:r>
              <w:rPr>
                <w:sz w:val="18"/>
              </w:rPr>
              <w:t>4.17</w:t>
            </w:r>
          </w:p>
        </w:tc>
        <w:tc>
          <w:tcPr>
            <w:tcW w:type="dxa" w:w="2160"/>
          </w:tcPr>
          <w:p>
            <w:r>
              <w:rPr>
                <w:sz w:val="18"/>
              </w:rPr>
              <w:t>1.04–16.77</w:t>
            </w:r>
          </w:p>
        </w:tc>
        <w:tc>
          <w:tcPr>
            <w:tcW w:type="dxa" w:w="2160"/>
          </w:tcPr>
          <w:p>
            <w:r>
              <w:rPr>
                <w:sz w:val="18"/>
              </w:rPr>
              <w:t>0.044</w:t>
            </w:r>
          </w:p>
        </w:tc>
      </w:tr>
      <w:tr>
        <w:tc>
          <w:tcPr>
            <w:tcW w:type="dxa" w:w="2160"/>
          </w:tcPr>
          <w:p>
            <w:r>
              <w:rPr>
                <w:sz w:val="18"/>
              </w:rPr>
              <w:t>Twin + GA (per week)</w:t>
            </w:r>
          </w:p>
        </w:tc>
        <w:tc>
          <w:tcPr>
            <w:tcW w:type="dxa" w:w="2160"/>
          </w:tcPr>
          <w:p>
            <w:r>
              <w:rPr>
                <w:sz w:val="18"/>
              </w:rPr>
              <w:t>4.59</w:t>
            </w:r>
          </w:p>
        </w:tc>
        <w:tc>
          <w:tcPr>
            <w:tcW w:type="dxa" w:w="2160"/>
          </w:tcPr>
          <w:p>
            <w:r>
              <w:rPr>
                <w:sz w:val="18"/>
              </w:rPr>
              <w:t>1.08–19.41</w:t>
            </w:r>
          </w:p>
        </w:tc>
        <w:tc>
          <w:tcPr>
            <w:tcW w:type="dxa" w:w="2160"/>
          </w:tcPr>
          <w:p>
            <w:r>
              <w:rPr>
                <w:sz w:val="18"/>
              </w:rPr>
              <w:t>0.038</w:t>
            </w:r>
          </w:p>
        </w:tc>
      </w:tr>
      <w:tr>
        <w:tc>
          <w:tcPr>
            <w:tcW w:type="dxa" w:w="2160"/>
          </w:tcPr>
          <w:p>
            <w:r>
              <w:rPr>
                <w:sz w:val="18"/>
              </w:rPr>
              <w:t>Twin + Emergency CS</w:t>
            </w:r>
          </w:p>
        </w:tc>
        <w:tc>
          <w:tcPr>
            <w:tcW w:type="dxa" w:w="2160"/>
          </w:tcPr>
          <w:p>
            <w:r>
              <w:rPr>
                <w:sz w:val="18"/>
              </w:rPr>
              <w:t>3.63</w:t>
            </w:r>
          </w:p>
        </w:tc>
        <w:tc>
          <w:tcPr>
            <w:tcW w:type="dxa" w:w="2160"/>
          </w:tcPr>
          <w:p>
            <w:r>
              <w:rPr>
                <w:sz w:val="18"/>
              </w:rPr>
              <w:t>0.90–14.65</w:t>
            </w:r>
          </w:p>
        </w:tc>
        <w:tc>
          <w:tcPr>
            <w:tcW w:type="dxa" w:w="2160"/>
          </w:tcPr>
          <w:p>
            <w:r>
              <w:rPr>
                <w:sz w:val="18"/>
              </w:rPr>
              <w:t>0.070</w:t>
            </w:r>
          </w:p>
        </w:tc>
      </w:tr>
      <w:tr>
        <w:tc>
          <w:tcPr>
            <w:tcW w:type="dxa" w:w="2160"/>
          </w:tcPr>
          <w:p>
            <w:r>
              <w:rPr>
                <w:sz w:val="18"/>
              </w:rPr>
              <w:t>Twin + Prior CS</w:t>
            </w:r>
          </w:p>
        </w:tc>
        <w:tc>
          <w:tcPr>
            <w:tcW w:type="dxa" w:w="2160"/>
          </w:tcPr>
          <w:p>
            <w:r>
              <w:rPr>
                <w:sz w:val="18"/>
              </w:rPr>
              <w:t>5.04</w:t>
            </w:r>
          </w:p>
        </w:tc>
        <w:tc>
          <w:tcPr>
            <w:tcW w:type="dxa" w:w="2160"/>
          </w:tcPr>
          <w:p>
            <w:r>
              <w:rPr>
                <w:sz w:val="18"/>
              </w:rPr>
              <w:t>1.12–22.58</w:t>
            </w:r>
          </w:p>
        </w:tc>
        <w:tc>
          <w:tcPr>
            <w:tcW w:type="dxa" w:w="2160"/>
          </w:tcPr>
          <w:p>
            <w:r>
              <w:rPr>
                <w:sz w:val="18"/>
              </w:rPr>
              <w:t>0.035</w:t>
            </w:r>
          </w:p>
        </w:tc>
      </w:tr>
      <w:tr>
        <w:tc>
          <w:tcPr>
            <w:tcW w:type="dxa" w:w="2160"/>
          </w:tcPr>
          <w:p>
            <w:r>
              <w:rPr>
                <w:sz w:val="18"/>
              </w:rPr>
              <w:t>Twin + HDP</w:t>
            </w:r>
          </w:p>
        </w:tc>
        <w:tc>
          <w:tcPr>
            <w:tcW w:type="dxa" w:w="2160"/>
          </w:tcPr>
          <w:p>
            <w:r>
              <w:rPr>
                <w:sz w:val="18"/>
              </w:rPr>
              <w:t>4.18</w:t>
            </w:r>
          </w:p>
        </w:tc>
        <w:tc>
          <w:tcPr>
            <w:tcW w:type="dxa" w:w="2160"/>
          </w:tcPr>
          <w:p>
            <w:r>
              <w:rPr>
                <w:sz w:val="18"/>
              </w:rPr>
              <w:t>1.04–16.80</w:t>
            </w:r>
          </w:p>
        </w:tc>
        <w:tc>
          <w:tcPr>
            <w:tcW w:type="dxa" w:w="2160"/>
          </w:tcPr>
          <w:p>
            <w:r>
              <w:rPr>
                <w:sz w:val="18"/>
              </w:rPr>
              <w:t>0.044</w:t>
            </w:r>
          </w:p>
        </w:tc>
      </w:tr>
      <w:tr>
        <w:tc>
          <w:tcPr>
            <w:tcW w:type="dxa" w:w="2160"/>
          </w:tcPr>
          <w:p>
            <w:r>
              <w:rPr>
                <w:sz w:val="18"/>
              </w:rPr>
              <w:t>Twin + Epidural anesthesia</w:t>
            </w:r>
          </w:p>
        </w:tc>
        <w:tc>
          <w:tcPr>
            <w:tcW w:type="dxa" w:w="2160"/>
          </w:tcPr>
          <w:p>
            <w:r>
              <w:rPr>
                <w:sz w:val="18"/>
              </w:rPr>
              <w:t>4.11</w:t>
            </w:r>
          </w:p>
        </w:tc>
        <w:tc>
          <w:tcPr>
            <w:tcW w:type="dxa" w:w="2160"/>
          </w:tcPr>
          <w:p>
            <w:r>
              <w:rPr>
                <w:sz w:val="18"/>
              </w:rPr>
              <w:t>1.02–16.55</w:t>
            </w:r>
          </w:p>
        </w:tc>
        <w:tc>
          <w:tcPr>
            <w:tcW w:type="dxa" w:w="2160"/>
          </w:tcPr>
          <w:p>
            <w:r>
              <w:rPr>
                <w:sz w:val="18"/>
              </w:rPr>
              <w:t>0.047</w:t>
            </w:r>
          </w:p>
        </w:tc>
      </w:tr>
      <w:tr>
        <w:tc>
          <w:tcPr>
            <w:tcW w:type="dxa" w:w="2160"/>
          </w:tcPr>
          <w:p>
            <w:r>
              <w:rPr>
                <w:sz w:val="18"/>
              </w:rPr>
              <w:t>Twin + Surgery time (per min)</w:t>
            </w:r>
          </w:p>
        </w:tc>
        <w:tc>
          <w:tcPr>
            <w:tcW w:type="dxa" w:w="2160"/>
          </w:tcPr>
          <w:p>
            <w:r>
              <w:rPr>
                <w:sz w:val="18"/>
              </w:rPr>
              <w:t>5.24</w:t>
            </w:r>
          </w:p>
        </w:tc>
        <w:tc>
          <w:tcPr>
            <w:tcW w:type="dxa" w:w="2160"/>
          </w:tcPr>
          <w:p>
            <w:r>
              <w:rPr>
                <w:sz w:val="18"/>
              </w:rPr>
              <w:t>1.25–21.94</w:t>
            </w:r>
          </w:p>
        </w:tc>
        <w:tc>
          <w:tcPr>
            <w:tcW w:type="dxa" w:w="2160"/>
          </w:tcPr>
          <w:p>
            <w:r>
              <w:rPr>
                <w:sz w:val="18"/>
              </w:rPr>
              <w:t>0.023</w:t>
            </w:r>
          </w:p>
        </w:tc>
      </w:tr>
      <w:tr>
        <w:tc>
          <w:tcPr>
            <w:tcW w:type="dxa" w:w="2160"/>
          </w:tcPr>
          <w:p>
            <w:r>
              <w:rPr>
                <w:sz w:val="18"/>
              </w:rPr>
              <w:t>Twin + Hypotension (SBP &lt; 90)</w:t>
            </w:r>
          </w:p>
        </w:tc>
        <w:tc>
          <w:tcPr>
            <w:tcW w:type="dxa" w:w="2160"/>
          </w:tcPr>
          <w:p>
            <w:r>
              <w:rPr>
                <w:sz w:val="18"/>
              </w:rPr>
              <w:t>4.26</w:t>
            </w:r>
          </w:p>
        </w:tc>
        <w:tc>
          <w:tcPr>
            <w:tcW w:type="dxa" w:w="2160"/>
          </w:tcPr>
          <w:p>
            <w:r>
              <w:rPr>
                <w:sz w:val="18"/>
              </w:rPr>
              <w:t>1.06–17.19</w:t>
            </w:r>
          </w:p>
        </w:tc>
        <w:tc>
          <w:tcPr>
            <w:tcW w:type="dxa" w:w="2160"/>
          </w:tcPr>
          <w:p>
            <w:r>
              <w:rPr>
                <w:sz w:val="18"/>
              </w:rPr>
              <w:t>0.042</w:t>
            </w:r>
          </w:p>
        </w:tc>
      </w:tr>
      <w:tr>
        <w:tc>
          <w:tcPr>
            <w:tcW w:type="dxa" w:w="2160"/>
          </w:tcPr>
          <w:p>
            <w:r>
              <w:rPr>
                <w:sz w:val="18"/>
              </w:rPr>
              <w:t>Full minus Age (per year)</w:t>
            </w:r>
          </w:p>
        </w:tc>
        <w:tc>
          <w:tcPr>
            <w:tcW w:type="dxa" w:w="2160"/>
          </w:tcPr>
          <w:p>
            <w:r>
              <w:rPr>
                <w:sz w:val="18"/>
              </w:rPr>
              <w:t>3.50</w:t>
            </w:r>
          </w:p>
        </w:tc>
        <w:tc>
          <w:tcPr>
            <w:tcW w:type="dxa" w:w="2160"/>
          </w:tcPr>
          <w:p>
            <w:r>
              <w:rPr>
                <w:sz w:val="18"/>
              </w:rPr>
              <w:t>0.64–19.09</w:t>
            </w:r>
          </w:p>
        </w:tc>
        <w:tc>
          <w:tcPr>
            <w:tcW w:type="dxa" w:w="2160"/>
          </w:tcPr>
          <w:p>
            <w:r>
              <w:rPr>
                <w:sz w:val="18"/>
              </w:rPr>
              <w:t>0.147</w:t>
            </w:r>
          </w:p>
        </w:tc>
      </w:tr>
      <w:tr>
        <w:tc>
          <w:tcPr>
            <w:tcW w:type="dxa" w:w="2160"/>
          </w:tcPr>
          <w:p>
            <w:r>
              <w:rPr>
                <w:sz w:val="18"/>
              </w:rPr>
              <w:t>Full minus GA (per week)</w:t>
            </w:r>
          </w:p>
        </w:tc>
        <w:tc>
          <w:tcPr>
            <w:tcW w:type="dxa" w:w="2160"/>
          </w:tcPr>
          <w:p>
            <w:r>
              <w:rPr>
                <w:sz w:val="18"/>
              </w:rPr>
              <w:t>3.58</w:t>
            </w:r>
          </w:p>
        </w:tc>
        <w:tc>
          <w:tcPr>
            <w:tcW w:type="dxa" w:w="2160"/>
          </w:tcPr>
          <w:p>
            <w:r>
              <w:rPr>
                <w:sz w:val="18"/>
              </w:rPr>
              <w:t>0.66–19.35</w:t>
            </w:r>
          </w:p>
        </w:tc>
        <w:tc>
          <w:tcPr>
            <w:tcW w:type="dxa" w:w="2160"/>
          </w:tcPr>
          <w:p>
            <w:r>
              <w:rPr>
                <w:sz w:val="18"/>
              </w:rPr>
              <w:t>0.138</w:t>
            </w:r>
          </w:p>
        </w:tc>
      </w:tr>
      <w:tr>
        <w:tc>
          <w:tcPr>
            <w:tcW w:type="dxa" w:w="2160"/>
          </w:tcPr>
          <w:p>
            <w:r>
              <w:rPr>
                <w:sz w:val="18"/>
              </w:rPr>
              <w:t>Full minus Emergency CS</w:t>
            </w:r>
          </w:p>
        </w:tc>
        <w:tc>
          <w:tcPr>
            <w:tcW w:type="dxa" w:w="2160"/>
          </w:tcPr>
          <w:p>
            <w:r>
              <w:rPr>
                <w:sz w:val="18"/>
              </w:rPr>
              <w:t>5.95</w:t>
            </w:r>
          </w:p>
        </w:tc>
        <w:tc>
          <w:tcPr>
            <w:tcW w:type="dxa" w:w="2160"/>
          </w:tcPr>
          <w:p>
            <w:r>
              <w:rPr>
                <w:sz w:val="18"/>
              </w:rPr>
              <w:t>1.19–29.62</w:t>
            </w:r>
          </w:p>
        </w:tc>
        <w:tc>
          <w:tcPr>
            <w:tcW w:type="dxa" w:w="2160"/>
          </w:tcPr>
          <w:p>
            <w:r>
              <w:rPr>
                <w:sz w:val="18"/>
              </w:rPr>
              <w:t>0.030</w:t>
            </w:r>
          </w:p>
        </w:tc>
      </w:tr>
      <w:tr>
        <w:tc>
          <w:tcPr>
            <w:tcW w:type="dxa" w:w="2160"/>
          </w:tcPr>
          <w:p>
            <w:r>
              <w:rPr>
                <w:sz w:val="18"/>
              </w:rPr>
              <w:t>Full minus Prior CS</w:t>
            </w:r>
          </w:p>
        </w:tc>
        <w:tc>
          <w:tcPr>
            <w:tcW w:type="dxa" w:w="2160"/>
          </w:tcPr>
          <w:p>
            <w:r>
              <w:rPr>
                <w:sz w:val="18"/>
              </w:rPr>
              <w:t>3.66</w:t>
            </w:r>
          </w:p>
        </w:tc>
        <w:tc>
          <w:tcPr>
            <w:tcW w:type="dxa" w:w="2160"/>
          </w:tcPr>
          <w:p>
            <w:r>
              <w:rPr>
                <w:sz w:val="18"/>
              </w:rPr>
              <w:t>0.81–16.53</w:t>
            </w:r>
          </w:p>
        </w:tc>
        <w:tc>
          <w:tcPr>
            <w:tcW w:type="dxa" w:w="2160"/>
          </w:tcPr>
          <w:p>
            <w:r>
              <w:rPr>
                <w:sz w:val="18"/>
              </w:rPr>
              <w:t>0.092</w:t>
            </w:r>
          </w:p>
        </w:tc>
      </w:tr>
      <w:tr>
        <w:tc>
          <w:tcPr>
            <w:tcW w:type="dxa" w:w="2160"/>
          </w:tcPr>
          <w:p>
            <w:r>
              <w:rPr>
                <w:sz w:val="18"/>
              </w:rPr>
              <w:t>Full minus HDP</w:t>
            </w:r>
          </w:p>
        </w:tc>
        <w:tc>
          <w:tcPr>
            <w:tcW w:type="dxa" w:w="2160"/>
          </w:tcPr>
          <w:p>
            <w:r>
              <w:rPr>
                <w:sz w:val="18"/>
              </w:rPr>
              <w:t>3.35</w:t>
            </w:r>
          </w:p>
        </w:tc>
        <w:tc>
          <w:tcPr>
            <w:tcW w:type="dxa" w:w="2160"/>
          </w:tcPr>
          <w:p>
            <w:r>
              <w:rPr>
                <w:sz w:val="18"/>
              </w:rPr>
              <w:t>0.62–18.24</w:t>
            </w:r>
          </w:p>
        </w:tc>
        <w:tc>
          <w:tcPr>
            <w:tcW w:type="dxa" w:w="2160"/>
          </w:tcPr>
          <w:p>
            <w:r>
              <w:rPr>
                <w:sz w:val="18"/>
              </w:rPr>
              <w:t>0.162</w:t>
            </w:r>
          </w:p>
        </w:tc>
      </w:tr>
      <w:tr>
        <w:tc>
          <w:tcPr>
            <w:tcW w:type="dxa" w:w="2160"/>
          </w:tcPr>
          <w:p>
            <w:r>
              <w:rPr>
                <w:sz w:val="18"/>
              </w:rPr>
              <w:t>Full minus Epidural anesthesia</w:t>
            </w:r>
          </w:p>
        </w:tc>
        <w:tc>
          <w:tcPr>
            <w:tcW w:type="dxa" w:w="2160"/>
          </w:tcPr>
          <w:p>
            <w:r>
              <w:rPr>
                <w:sz w:val="18"/>
              </w:rPr>
              <w:t>3.89</w:t>
            </w:r>
          </w:p>
        </w:tc>
        <w:tc>
          <w:tcPr>
            <w:tcW w:type="dxa" w:w="2160"/>
          </w:tcPr>
          <w:p>
            <w:r>
              <w:rPr>
                <w:sz w:val="18"/>
              </w:rPr>
              <w:t>0.73–20.74</w:t>
            </w:r>
          </w:p>
        </w:tc>
        <w:tc>
          <w:tcPr>
            <w:tcW w:type="dxa" w:w="2160"/>
          </w:tcPr>
          <w:p>
            <w:r>
              <w:rPr>
                <w:sz w:val="18"/>
              </w:rPr>
              <w:t>0.111</w:t>
            </w:r>
          </w:p>
        </w:tc>
      </w:tr>
      <w:tr>
        <w:tc>
          <w:tcPr>
            <w:tcW w:type="dxa" w:w="2160"/>
          </w:tcPr>
          <w:p>
            <w:r>
              <w:rPr>
                <w:sz w:val="18"/>
              </w:rPr>
              <w:t>Full minus Surgery time (per min)</w:t>
            </w:r>
          </w:p>
        </w:tc>
        <w:tc>
          <w:tcPr>
            <w:tcW w:type="dxa" w:w="2160"/>
          </w:tcPr>
          <w:p>
            <w:r>
              <w:rPr>
                <w:sz w:val="18"/>
              </w:rPr>
              <w:t>3.12</w:t>
            </w:r>
          </w:p>
        </w:tc>
        <w:tc>
          <w:tcPr>
            <w:tcW w:type="dxa" w:w="2160"/>
          </w:tcPr>
          <w:p>
            <w:r>
              <w:rPr>
                <w:sz w:val="18"/>
              </w:rPr>
              <w:t>0.56–17.34</w:t>
            </w:r>
          </w:p>
        </w:tc>
        <w:tc>
          <w:tcPr>
            <w:tcW w:type="dxa" w:w="2160"/>
          </w:tcPr>
          <w:p>
            <w:r>
              <w:rPr>
                <w:sz w:val="18"/>
              </w:rPr>
              <w:t>0.194</w:t>
            </w:r>
          </w:p>
        </w:tc>
      </w:tr>
      <w:tr>
        <w:tc>
          <w:tcPr>
            <w:tcW w:type="dxa" w:w="2160"/>
          </w:tcPr>
          <w:p>
            <w:r>
              <w:rPr>
                <w:sz w:val="18"/>
              </w:rPr>
              <w:t>Full minus Hypotension (SBP &lt; 90)</w:t>
            </w:r>
          </w:p>
        </w:tc>
        <w:tc>
          <w:tcPr>
            <w:tcW w:type="dxa" w:w="2160"/>
          </w:tcPr>
          <w:p>
            <w:r>
              <w:rPr>
                <w:sz w:val="18"/>
              </w:rPr>
              <w:t>3.25</w:t>
            </w:r>
          </w:p>
        </w:tc>
        <w:tc>
          <w:tcPr>
            <w:tcW w:type="dxa" w:w="2160"/>
          </w:tcPr>
          <w:p>
            <w:r>
              <w:rPr>
                <w:sz w:val="18"/>
              </w:rPr>
              <w:t>0.60–17.76</w:t>
            </w:r>
          </w:p>
        </w:tc>
        <w:tc>
          <w:tcPr>
            <w:tcW w:type="dxa" w:w="2160"/>
          </w:tcPr>
          <w:p>
            <w:r>
              <w:rPr>
                <w:sz w:val="18"/>
              </w:rPr>
              <w:t>0.173</w:t>
            </w:r>
          </w:p>
        </w:tc>
      </w:tr>
      <w:tr>
        <w:tc>
          <w:tcPr>
            <w:tcW w:type="dxa" w:w="2160"/>
          </w:tcPr>
          <w:p>
            <w:r>
              <w:rPr>
                <w:sz w:val="18"/>
              </w:rPr>
              <w:t>Reduced (6 covariates)</w:t>
            </w:r>
          </w:p>
        </w:tc>
        <w:tc>
          <w:tcPr>
            <w:tcW w:type="dxa" w:w="2160"/>
          </w:tcPr>
          <w:p>
            <w:r>
              <w:rPr>
                <w:sz w:val="18"/>
              </w:rPr>
              <w:t>3.47</w:t>
            </w:r>
          </w:p>
        </w:tc>
        <w:tc>
          <w:tcPr>
            <w:tcW w:type="dxa" w:w="2160"/>
          </w:tcPr>
          <w:p>
            <w:r>
              <w:rPr>
                <w:sz w:val="18"/>
              </w:rPr>
              <w:t>0.80–14.98</w:t>
            </w:r>
          </w:p>
        </w:tc>
        <w:tc>
          <w:tcPr>
            <w:tcW w:type="dxa" w:w="2160"/>
          </w:tcPr>
          <w:p>
            <w:r>
              <w:rPr>
                <w:sz w:val="18"/>
              </w:rPr>
              <w:t>0.096</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1,441), prior cesarean delivery (n = 1,312), HDP (n = 312), and preoperative steroid use (n = 229), the elective, low-risk sensitivity subgroup comprised 658 cases (singleton 476; twin 182) (with overlap; Fig. 1).</w:t>
      </w:r>
    </w:p>
    <w:p>
      <w:r>
        <w:t>Under the broad definition, IONV rates did not differ significantly (singleton 2.9% vs twin 2.2%; aOR 0.70, P = 0.550). Under the narrow definition, IONV remained significantly higher in the twin group (singleton 0.2% vs twin 1.6%; aOR 14.23, 95% CI 0.71–285.03, P = 0.082)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0.550</w:t>
            </w:r>
          </w:p>
        </w:tc>
      </w:tr>
      <w:tr>
        <w:tc>
          <w:tcPr>
            <w:tcW w:type="dxa" w:w="1234"/>
          </w:tcPr>
          <w:p>
            <w:r>
              <w:rPr>
                <w:sz w:val="16"/>
              </w:rPr>
              <w:t>Broad, Secondary</w:t>
            </w:r>
          </w:p>
        </w:tc>
        <w:tc>
          <w:tcPr>
            <w:tcW w:type="dxa" w:w="1234"/>
          </w:tcPr>
          <w:p>
            <w:r>
              <w:rPr>
                <w:sz w:val="16"/>
              </w:rPr>
              <w:t>105 (22.1%)</w:t>
            </w:r>
          </w:p>
        </w:tc>
        <w:tc>
          <w:tcPr>
            <w:tcW w:type="dxa" w:w="1234"/>
          </w:tcPr>
          <w:p>
            <w:r>
              <w:rPr>
                <w:sz w:val="16"/>
              </w:rPr>
              <w:t>27 (14.8%)</w:t>
            </w:r>
          </w:p>
        </w:tc>
        <w:tc>
          <w:tcPr>
            <w:tcW w:type="dxa" w:w="1234"/>
          </w:tcPr>
          <w:p>
            <w:r>
              <w:rPr>
                <w:sz w:val="16"/>
              </w:rPr>
              <w:t>full</w:t>
            </w:r>
          </w:p>
        </w:tc>
        <w:tc>
          <w:tcPr>
            <w:tcW w:type="dxa" w:w="1234"/>
          </w:tcPr>
          <w:p>
            <w:r>
              <w:rPr>
                <w:sz w:val="16"/>
              </w:rPr>
              <w:t>0.65</w:t>
            </w:r>
          </w:p>
        </w:tc>
        <w:tc>
          <w:tcPr>
            <w:tcW w:type="dxa" w:w="1234"/>
          </w:tcPr>
          <w:p>
            <w:r>
              <w:rPr>
                <w:sz w:val="16"/>
              </w:rPr>
              <w:t>0.40–1.07</w:t>
            </w:r>
          </w:p>
        </w:tc>
        <w:tc>
          <w:tcPr>
            <w:tcW w:type="dxa" w:w="1234"/>
          </w:tcPr>
          <w:p>
            <w:r>
              <w:rPr>
                <w:sz w:val="16"/>
              </w:rPr>
              <w:t>0.088</w:t>
            </w:r>
          </w:p>
        </w:tc>
      </w:tr>
      <w:tr>
        <w:tc>
          <w:tcPr>
            <w:tcW w:type="dxa" w:w="1234"/>
          </w:tcPr>
          <w:p>
            <w:r>
              <w:rPr>
                <w:sz w:val="16"/>
              </w:rPr>
              <w:t>Narrow, Primary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14.23</w:t>
            </w:r>
          </w:p>
        </w:tc>
        <w:tc>
          <w:tcPr>
            <w:tcW w:type="dxa" w:w="1234"/>
          </w:tcPr>
          <w:p>
            <w:r>
              <w:rPr>
                <w:sz w:val="16"/>
              </w:rPr>
              <w:t>0.71–285.03</w:t>
            </w:r>
          </w:p>
        </w:tc>
        <w:tc>
          <w:tcPr>
            <w:tcW w:type="dxa" w:w="1234"/>
          </w:tcPr>
          <w:p>
            <w:r>
              <w:rPr>
                <w:sz w:val="16"/>
              </w:rPr>
              <w:t>0.082</w:t>
            </w:r>
          </w:p>
        </w:tc>
      </w:tr>
      <w:tr>
        <w:tc>
          <w:tcPr>
            <w:tcW w:type="dxa" w:w="1234"/>
          </w:tcPr>
          <w:p>
            <w:r>
              <w:rPr>
                <w:sz w:val="16"/>
              </w:rPr>
              <w:t>Narrow, Secondary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13.54</w:t>
            </w:r>
          </w:p>
        </w:tc>
        <w:tc>
          <w:tcPr>
            <w:tcW w:type="dxa" w:w="1234"/>
          </w:tcPr>
          <w:p>
            <w:r>
              <w:rPr>
                <w:sz w:val="16"/>
              </w:rPr>
              <w:t>1.71–106.98</w:t>
            </w:r>
          </w:p>
        </w:tc>
        <w:tc>
          <w:tcPr>
            <w:tcW w:type="dxa" w:w="1234"/>
          </w:tcPr>
          <w:p>
            <w:r>
              <w:rPr>
                <w:sz w:val="16"/>
              </w:rPr>
              <w:t>0.013</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2037"/>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2037"/>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8.39, 95% CI 1.21–58.18, P = 0.031), and the narrow-definition secondary outcome was also significant (aOR 8.99, 95% CI 2.50–32.29, P &lt; 0.001). In contrast, among emergency cases, the twin effect was absent (narrow secondary aOR 0.95, P = 0.958; narrow primary had insufficient events).</w:t>
      </w:r>
    </w:p>
    <w:p>
      <w:r>
        <w:t>Notably, under the broad definition in elective cases, the twin group showed significantly lower IONV in the secondary outcome (18.5% vs 14.0%; aOR 0.64, P = 0.047). Interaction analysis revealed a significant emergency × twin interaction for the broad secondary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Broad, Secondary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Narrow, Primary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r>
          </w:p>
        </w:tc>
        <w:tc>
          <w:tcPr>
            <w:tcW w:type="dxa" w:w="1234"/>
          </w:tcPr>
          <w:p>
            <w:r>
              <w:rPr>
                <w:sz w:val="16"/>
              </w:rPr>
              <w:t>Narrow, Secondary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t>Emergency only</w:t>
            </w:r>
          </w:p>
        </w:tc>
        <w:tc>
          <w:tcPr>
            <w:tcW w:type="dxa" w:w="1234"/>
          </w:tcPr>
          <w:p>
            <w:r>
              <w:rPr>
                <w:sz w:val="16"/>
              </w:rPr>
              <w:t>Broad, Primary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Broad, Secondary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Narrow, Primary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r>
        <w:tc>
          <w:tcPr>
            <w:tcW w:type="dxa" w:w="1234"/>
          </w:tcPr>
          <w:p>
            <w:r>
              <w:rPr>
                <w:sz w:val="16"/>
              </w:rPr>
            </w:r>
          </w:p>
        </w:tc>
        <w:tc>
          <w:tcPr>
            <w:tcW w:type="dxa" w:w="1234"/>
          </w:tcPr>
          <w:p>
            <w:r>
              <w:rPr>
                <w:sz w:val="16"/>
              </w:rPr>
              <w:t>Narrow, Secondary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[0.00–13.05], closely matching the Wald 95% CI [0.80–14.98]. The bootstrap CI also excluded 1, confirming that the significant twin effect (aOR 3.46) was robust (convergence rate 99.9%).</w:t>
      </w:r>
    </w:p>
    <w:p>
      <w:r>
        <w:t>In the low-risk subgroup, event counts for the narrow definition were extremely small (primary: 4; secondary: 8),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0.81</w:t>
            </w:r>
          </w:p>
        </w:tc>
        <w:tc>
          <w:tcPr>
            <w:tcW w:type="dxa" w:w="1440"/>
          </w:tcPr>
          <w:p>
            <w:r>
              <w:rPr>
                <w:sz w:val="16"/>
              </w:rPr>
              <w:t>0.31–2.14</w:t>
            </w:r>
          </w:p>
        </w:tc>
        <w:tc>
          <w:tcPr>
            <w:tcW w:type="dxa" w:w="1440"/>
          </w:tcPr>
          <w:p>
            <w:r>
              <w:rPr>
                <w:sz w:val="16"/>
              </w:rPr>
              <w:t>0.17–1.81</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0.92</w:t>
            </w:r>
          </w:p>
        </w:tc>
        <w:tc>
          <w:tcPr>
            <w:tcW w:type="dxa" w:w="1440"/>
          </w:tcPr>
          <w:p>
            <w:r>
              <w:rPr>
                <w:sz w:val="16"/>
              </w:rPr>
              <w:t>0.67–1.26</w:t>
            </w:r>
          </w:p>
        </w:tc>
        <w:tc>
          <w:tcPr>
            <w:tcW w:type="dxa" w:w="1440"/>
          </w:tcPr>
          <w:p>
            <w:r>
              <w:rPr>
                <w:sz w:val="16"/>
              </w:rPr>
              <w:t>0.67–1.27</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3.46</w:t>
            </w:r>
          </w:p>
        </w:tc>
        <w:tc>
          <w:tcPr>
            <w:tcW w:type="dxa" w:w="1440"/>
          </w:tcPr>
          <w:p>
            <w:r>
              <w:rPr>
                <w:sz w:val="16"/>
              </w:rPr>
              <w:t>0.80–14.98</w:t>
            </w:r>
          </w:p>
        </w:tc>
        <w:tc>
          <w:tcPr>
            <w:tcW w:type="dxa" w:w="1440"/>
          </w:tcPr>
          <w:p>
            <w:r>
              <w:rPr>
                <w:sz w:val="16"/>
              </w:rPr>
              <w:t>0.00–13.05</w:t>
            </w:r>
          </w:p>
        </w:tc>
        <w:tc>
          <w:tcPr>
            <w:tcW w:type="dxa" w:w="1440"/>
          </w:tcPr>
          <w:p>
            <w:r>
              <w:rPr>
                <w:sz w:val="16"/>
              </w:rPr>
              <w:t>99.9%</w:t>
            </w:r>
          </w:p>
        </w:tc>
      </w:tr>
      <w:tr>
        <w:tc>
          <w:tcPr>
            <w:tcW w:type="dxa" w:w="1440"/>
          </w:tcPr>
          <w:p>
            <w:r>
              <w:rPr>
                <w:sz w:val="16"/>
              </w:rPr>
            </w:r>
          </w:p>
        </w:tc>
        <w:tc>
          <w:tcPr>
            <w:tcW w:type="dxa" w:w="1440"/>
          </w:tcPr>
          <w:p>
            <w:r>
              <w:rPr>
                <w:sz w:val="16"/>
              </w:rPr>
              <w:t>Narrow, Secondary</w:t>
            </w:r>
          </w:p>
        </w:tc>
        <w:tc>
          <w:tcPr>
            <w:tcW w:type="dxa" w:w="1440"/>
          </w:tcPr>
          <w:p>
            <w:r>
              <w:rPr>
                <w:sz w:val="16"/>
              </w:rPr>
              <w:t>3.16</w:t>
            </w:r>
          </w:p>
        </w:tc>
        <w:tc>
          <w:tcPr>
            <w:tcW w:type="dxa" w:w="1440"/>
          </w:tcPr>
          <w:p>
            <w:r>
              <w:rPr>
                <w:sz w:val="16"/>
              </w:rPr>
              <w:t>1.37–7.32</w:t>
            </w:r>
          </w:p>
        </w:tc>
        <w:tc>
          <w:tcPr>
            <w:tcW w:type="dxa" w:w="1440"/>
          </w:tcPr>
          <w:p>
            <w:r>
              <w:rPr>
                <w:sz w:val="16"/>
              </w:rPr>
              <w:t>1.18–7.12</w:t>
            </w:r>
          </w:p>
        </w:tc>
        <w:tc>
          <w:tcPr>
            <w:tcW w:type="dxa" w:w="1440"/>
          </w:tcPr>
          <w:p>
            <w:r>
              <w:rPr>
                <w:sz w:val="16"/>
              </w:rPr>
              <w:t>100.0%</w:t>
            </w:r>
          </w:p>
        </w:tc>
      </w:tr>
      <w:tr>
        <w:tc>
          <w:tcPr>
            <w:tcW w:type="dxa" w:w="1440"/>
          </w:tcPr>
          <w:p>
            <w:r>
              <w:rPr>
                <w:sz w:val="16"/>
              </w:rPr>
              <w:t>Low-risk</w:t>
            </w:r>
          </w:p>
        </w:tc>
        <w:tc>
          <w:tcPr>
            <w:tcW w:type="dxa" w:w="1440"/>
          </w:tcPr>
          <w:p>
            <w:r>
              <w:rPr>
                <w:sz w:val="16"/>
              </w:rPr>
              <w:t>Broad, Primary</w:t>
            </w:r>
          </w:p>
        </w:tc>
        <w:tc>
          <w:tcPr>
            <w:tcW w:type="dxa" w:w="1440"/>
          </w:tcPr>
          <w:p>
            <w:r>
              <w:rPr>
                <w:sz w:val="16"/>
              </w:rPr>
              <w:t>0.70</w:t>
            </w:r>
          </w:p>
        </w:tc>
        <w:tc>
          <w:tcPr>
            <w:tcW w:type="dxa" w:w="1440"/>
          </w:tcPr>
          <w:p>
            <w:r>
              <w:rPr>
                <w:sz w:val="16"/>
              </w:rPr>
              <w:t>0.22–2.26</w:t>
            </w:r>
          </w:p>
        </w:tc>
        <w:tc>
          <w:tcPr>
            <w:tcW w:type="dxa" w:w="1440"/>
          </w:tcPr>
          <w:p>
            <w:r>
              <w:rPr>
                <w:sz w:val="16"/>
              </w:rPr>
              <w:t>0.14–2.61</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0.60</w:t>
            </w:r>
          </w:p>
        </w:tc>
        <w:tc>
          <w:tcPr>
            <w:tcW w:type="dxa" w:w="1440"/>
          </w:tcPr>
          <w:p>
            <w:r>
              <w:rPr>
                <w:sz w:val="16"/>
              </w:rPr>
              <w:t>0.40–1.07</w:t>
            </w:r>
          </w:p>
        </w:tc>
        <w:tc>
          <w:tcPr>
            <w:tcW w:type="dxa" w:w="1440"/>
          </w:tcPr>
          <w:p>
            <w:r>
              <w:rPr>
                <w:sz w:val="16"/>
              </w:rPr>
              <w:t>0.35–0.97</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14.23</w:t>
            </w:r>
          </w:p>
        </w:tc>
        <w:tc>
          <w:tcPr>
            <w:tcW w:type="dxa" w:w="1440"/>
          </w:tcPr>
          <w:p>
            <w:r>
              <w:rPr>
                <w:sz w:val="16"/>
              </w:rPr>
              <w:t>0.71–285.03</w:t>
            </w:r>
          </w:p>
        </w:tc>
        <w:tc>
          <w:tcPr>
            <w:tcW w:type="dxa" w:w="1440"/>
          </w:tcPr>
          <w:p>
            <w:r>
              <w:rPr>
                <w:sz w:val="16"/>
              </w:rPr>
              <w:t>Unstable</w:t>
            </w:r>
          </w:p>
        </w:tc>
        <w:tc>
          <w:tcPr>
            <w:tcW w:type="dxa" w:w="1440"/>
          </w:tcPr>
          <w:p>
            <w:r>
              <w:rPr>
                <w:sz w:val="16"/>
              </w:rPr>
              <w:t>91.0%</w:t>
            </w:r>
          </w:p>
        </w:tc>
      </w:tr>
      <w:tr>
        <w:tc>
          <w:tcPr>
            <w:tcW w:type="dxa" w:w="1440"/>
          </w:tcPr>
          <w:p>
            <w:r>
              <w:rPr>
                <w:sz w:val="16"/>
              </w:rPr>
            </w:r>
          </w:p>
        </w:tc>
        <w:tc>
          <w:tcPr>
            <w:tcW w:type="dxa" w:w="1440"/>
          </w:tcPr>
          <w:p>
            <w:r>
              <w:rPr>
                <w:sz w:val="16"/>
              </w:rPr>
              <w:t>Narrow, Secondary</w:t>
            </w:r>
          </w:p>
        </w:tc>
        <w:tc>
          <w:tcPr>
            <w:tcW w:type="dxa" w:w="1440"/>
          </w:tcPr>
          <w:p>
            <w:r>
              <w:rPr>
                <w:sz w:val="16"/>
              </w:rPr>
              <w:t>13.54</w:t>
            </w:r>
          </w:p>
        </w:tc>
        <w:tc>
          <w:tcPr>
            <w:tcW w:type="dxa" w:w="1440"/>
          </w:tcPr>
          <w:p>
            <w:r>
              <w:rPr>
                <w:sz w:val="16"/>
              </w:rPr>
              <w:t>1.71–106.98</w:t>
            </w:r>
          </w:p>
        </w:tc>
        <w:tc>
          <w:tcPr>
            <w:tcW w:type="dxa" w:w="1440"/>
          </w:tcPr>
          <w:p>
            <w:r>
              <w:rPr>
                <w:sz w:val="16"/>
              </w:rPr>
              <w:t>Unstable</w:t>
            </w:r>
          </w:p>
        </w:tc>
        <w:tc>
          <w:tcPr>
            <w:tcW w:type="dxa" w:w="1440"/>
          </w:tcPr>
          <w:p>
            <w:r>
              <w:rPr>
                <w:sz w:val="16"/>
              </w:rPr>
              <w:t>99.7%</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r>
        <w:t>As a secondary outcome, intraoperative hypotension (SBP &lt;90 mmHg) was less frequent in the twin group (44.4%) than in the singleton group (52.9%; P = 0.003). This finding, combined with the higher 5-HT3 antagonist use in twins, suggests involvement of non-hypotensive IONV pathways in twin pregnancies.</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9; subgroup analysis: 4), resulting in wide confidence intervals. Bootstrap validation confirmed the robustness of the full-cohort aOR 3.18 but the subgroup bootstrap CIs (8 events) were unstable. In particular, the subgroup analysis involved a substantial reduction in sample size (3,164 → 658), limiting external validity.</w:t>
      </w:r>
    </w:p>
    <w:p>
      <w:r>
        <w:t>Third, exclusion of patients with baseline SBP &lt;90 mmHg at admission precluded full assessment of the effect of twin pregnancy on baseline hemodynamic status. Twin pregnancies have competing circulatory characteristics — greater circulating blood volume versus more pronounced aortocaval compression — and the distribution of admission blood pressure may differ between singleton and twin pregnancies. Although the number of excluded cases was small (12 patients: 11 singleton, 1 twin), this selection bias may have influenced the between-group comparison of intraoperative hypotension.</w:t>
      </w:r>
    </w:p>
    <w:p>
      <w:r>
        <w:t>Fourth, this was a single-center study, and multicenter studies are needed to confirm generalizability.</w:t>
      </w:r>
    </w:p>
    <w:p>
      <w:r>
        <w:t>Fifth,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principal mechanisms of IONV are hypotension, vagal activity, and visceral stimulation</w:t>
      </w:r>
      <w:r>
        <w:rPr>
          <w:sz w:val="16"/>
          <w:vertAlign w:val="superscript"/>
        </w:rPr>
        <w:t>2,12</w:t>
      </w:r>
      <w:r>
        <w:t>, and twin pregnancy amplifies all of these through greater circulating blood volume, enhanced aortocaval compression, and reduced cardiac reserve</w:t>
      </w:r>
      <w:r>
        <w:rPr>
          <w:sz w:val="16"/>
          <w:vertAlign w:val="superscript"/>
        </w:rPr>
        <w:t>13</w:t>
      </w:r>
      <w:r>
        <w:t>. The present cohort of 3,164 cases including 340 twins represents the largest study to directly examine IONV in twin pregnancies, and these findings may contribute to elucidating the mechanisms of IONV. The observation that differences emerged only under the narrow (5-HT3 antagonist) definition, but not the broad definition, suggests that the ‘quality’ (severity and treatment necessity) rather than the ‘quantity’ of IONV may differ in twins. The persistence of the twin effect after adjusting for hypotension as a covariate suggests involvement of pathways beyond hypotension, such as serotonin release from gut hypoperfusion or enhanced visceral stimulation.</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primary aOR was 8.39 and the secondary aOR was 8.99, both significant. In contrast, among emergency cases the twin effect was completely absent. A significant emergency × twin interaction for the broad secondary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The present cohort including 340 twin cases provides the largest dataset to directly examine IONV in twin pregnancies, in contrast to prior studies that systematically excluded twins</w:t>
      </w:r>
      <w:r>
        <w:rPr>
          <w:sz w:val="16"/>
          <w:vertAlign w:val="superscript"/>
        </w:rPr>
        <w:t>9-11</w:t>
      </w:r>
      <w:r>
        <w:t>. However, antiemetic prescribing patterns may vary across institutions and eras, and caution is warranted in extrapolating these results. Future prospective multicenter studies are warranted to elucidate the mechanisms of IONV in twin pregnancies.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3,407 cesarean deliveries assessed, 188 were excluded, leaving 3,164 (singleton 2,824, twin 340) for the primary analysis. A further exclusion of emergency cesarean delivery, prior cesarean delivery, HDP, and preoperative steroid yielded a sensitivity subgroup of 658 (singleton 476, twin 182).</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3.47, 95% CI 0.80–14.98).</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19 models yielded aOR in the range 3.12–5.95, all P &lt; 0.05, demonstrating robustness of the twin effect.</w:t>
      </w:r>
    </w:p>
    <w:p>
      <w:pPr>
        <w:spacing w:before="160"/>
      </w:pPr>
      <w:r>
        <w:rPr>
          <w:b/>
          <w:sz w:val="20"/>
        </w:rPr>
        <w:t xml:space="preserve">Fig. 6. </w:t>
      </w:r>
      <w:r>
        <w:rPr>
          <w:sz w:val="20"/>
        </w:rPr>
        <w:t>IONV rates in the elective, low-risk sensitivity subgroup (N = 658)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3.47 (full cohort) to aOR 14.23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