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Beyond the Calculus of Lives: Commensurability, the Ethics of Giving, and the Civilizational Roots of Total War</w:t>
      </w:r>
    </w:p>
    <w:p>
      <w:pPr>
        <w:spacing w:line="360" w:lineRule="auto"/>
      </w:pPr>
      <w:r>
        <w:rPr>
          <w:b/>
        </w:rPr>
        <w:t xml:space="preserve">Author: </w:t>
      </w:r>
      <w:r>
        <w:t>Tatsuki Onishi</w:t>
      </w:r>
    </w:p>
    <w:p>
      <w:pPr>
        <w:spacing w:line="360" w:lineRule="auto"/>
      </w:pPr>
      <w:r>
        <w:rPr>
          <w:b/>
        </w:rPr>
        <w:t xml:space="preserve">Affiliation: </w:t>
      </w:r>
      <w:r>
        <w:t>Independent Researcher</w:t>
      </w:r>
    </w:p>
    <w:p>
      <w:pPr>
        <w:spacing w:line="360" w:lineRule="auto"/>
      </w:pPr>
      <w:r>
        <w:rPr>
          <w:b/>
        </w:rPr>
        <w:t xml:space="preserve">Corresponding author: </w:t>
      </w:r>
      <w:r>
        <w:t>bougtoir@gmail.com</w:t>
      </w:r>
    </w:p>
    <w:p>
      <w:pPr>
        <w:spacing w:line="360" w:lineRule="auto"/>
      </w:pPr>
      <w:r>
        <w:t>Word count (main text, excluding notes and abstract): see build log.</w:t>
      </w:r>
    </w:p>
    <w:p>
      <w:pPr>
        <w:spacing w:line="360" w:lineRule="auto"/>
      </w:pPr>
      <w:r>
        <w:t>Conflicts of interest: none declared.</w:t>
      </w:r>
    </w:p>
    <w:p>
      <w:pPr>
        <w:spacing w:line="360" w:lineRule="auto"/>
      </w:pPr>
      <w:r>
        <w:t>Funding: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