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w:t>
        <w:br/>
        <w:t>From Maritime Isolation to Technological Access Denial</w:t>
        <w:br/>
        <w:t>in the Long Run of History</w:t>
      </w:r>
    </w:p>
    <w:p/>
    <w:p>
      <w:pPr>
        <w:jc w:val="center"/>
      </w:pPr>
      <w:r>
        <w:rPr>
          <w:sz w:val="22"/>
        </w:rPr>
        <w:t>[Author Name]</w:t>
        <w:br/>
        <w:t>[Affiliation]</w:t>
        <w:br/>
        <w:t>[Email]</w:t>
      </w:r>
    </w:p>
    <w:p/>
    <w:p/>
    <w:p>
      <w:pPr>
        <w:pStyle w:val="Heading2"/>
      </w:pPr>
      <w:r>
        <w:t>Abstract</w:t>
      </w:r>
    </w:p>
    <w:p>
      <w:r>
        <w:rPr>
          <w:sz w:val="22"/>
        </w:rPr>
        <w:t>Why do some states collapse while others endure? This study proposes that structural exclusion from the dominant technological network of an era—not merely deliberate trade closure—is a recurring driver of state vulnerability, because it severs the flow of technical knowledge and allows a cumulative technology gap to open between connected and excluded polities. Using a comparative dataset of 96 historical polities spanning antiquity to the present, we distinguish between policy-driven isolation (e.g., Ming haijin, Tokugawa sakoku) and what we term 'technical network exclusion': involuntary disconnection from prevailing exchange networks due to geographic or technological constraints. Policy-based closure reduces but does not eliminate technology transfer (e.g., rangaku via Dejima under sakoku), whereas technical exclusion severs it entirely. Reclassifying seven technically excluded polities transforms a non-significant association between closure and conquest (Fisher's exact test p = 0.187) into a significant one (p = 0.020); all seven were eventually conquered. Multivariate logistic regression confirms that external threat and institutional quality are the strongest predictors of collapse, while the stock–flow odds ratio (OR = 1.774) remains stable across all scenarios. We argue that the underlying mechanism—technology flow disruption leading to an accumulating civilization-level gap—generalizes beyond maritime isolation. As the dominant network shifts from sea lanes to semiconductors, artificial intelligence, and advanced robotics, states structurally excluded from these technological platforms may face analogous vulnerabilities.</w:t>
      </w:r>
    </w:p>
    <w:p>
      <w:r>
        <w:rPr>
          <w:b/>
        </w:rPr>
        <w:t xml:space="preserve">Keywords: </w:t>
      </w:r>
      <w:r>
        <w:t>network exclusion; economic history; maritime closure; state collapse; technological access; sensitivity analysis</w:t>
      </w:r>
    </w:p>
    <w:p>
      <w:r>
        <w:rPr>
          <w:b/>
        </w:rPr>
        <w:t xml:space="preserve">JEL Classification: </w:t>
      </w:r>
      <w:r>
        <w:t>N40, N70, F50, O33, C12</w:t>
      </w:r>
    </w:p>
    <w:p>
      <w:r>
        <w:br w:type="page"/>
      </w:r>
    </w:p>
    <w:p>
      <w:pPr>
        <w:pStyle w:val="Heading1"/>
      </w:pPr>
      <w:r>
        <w:t>1  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w:t>
      </w:r>
    </w:p>
    <w:p>
      <w:r>
        <w:t>The existing literature on trade openness and state survival has overwhelmingly focused on deliberate closure: the maritime prohibitions (haijin) of Ming China, the sakoku decree of Tokugawa Japan, the autarkic blocs of the Cold War. Deliberate closure is analytically convenient because it represents a policy choice with an identifiable agent. Yet this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no regular maritime routes connected them to the major trading systems of their era. If these polities exhibit the same elevated conquest risk as deliberately closed ones, then the mechanism at work is not the policy decision to close but the disconnection itself.</w:t>
      </w:r>
    </w:p>
    <w:p>
      <w:r>
        <w:t>We propose that the critical channel is technology flow.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severed the flow entirely. The result was a cumulative technology gap: over generations, excluded polities fell progressively behind the technological frontier, and when contact with a more advanced civilization eventually occurred—often through military confrontation—the gap proved fatal. This is, in essence, a quantitative restatement of a long-recognized pattern: when civilizations at markedly different technological levels collide, the less advanced one tends to be absorbed or destroyed (Diamond 1997).</w:t>
      </w:r>
    </w:p>
    <w:p>
      <w:r>
        <w:t>This paper makes three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took the form of geographic exclusion from sea routes, but the underlying mechanism generalizes across eras. Third, we conduct a systematic sensitivity analysis in which seven technically excluded polities are reclassified from 'no closure' to 'technical network exclusion,' testing whether the closure–conquest association is an artifact of how isolation is defined.</w:t>
      </w:r>
    </w:p>
    <w:p>
      <w:r>
        <w:t>The principal finding is that reclassification transforms a non-significant baseline association (Fisher's exact test, one-sided p = 0.187) into a significant one (p = 0.020), while the core stock–flow odds ratio remains unchanged at 1.774. All seven technically excluded polities were eventually conquered. This result suggests that what matters for state survival is not whether closure was chosen but whether the polity was connected to the era's critical exchange platform.</w:t>
      </w:r>
    </w:p>
    <w:p>
      <w:r>
        <w:t>The forward-looking implication follows directly. If the mechanism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2 describes the dataset and classification framework. Section 3 presents the analytical methods. Section 4 reports the baseline results. Section 5 details the sensitivity analysis. Section 6 discusses implications, including the extension to technological access exclusion, and Section 7 concludes.</w:t>
      </w:r>
    </w:p>
    <w:p>
      <w:pPr>
        <w:pStyle w:val="Heading1"/>
      </w:pPr>
      <w:r>
        <w:t>2  Data and Classification</w:t>
      </w:r>
    </w:p>
    <w:p>
      <w:pPr>
        <w:pStyle w:val="Heading2"/>
      </w:pPr>
      <w:r>
        <w:t>2.1  Dataset construction</w:t>
      </w:r>
    </w:p>
    <w:p>
      <w:r>
        <w:t>The dataset comprises 96 historical polities selected from standard reference works (Findlay and O'Rourke 2007; Kennedy 1987; Turchin 2009). Selection criteria required that each polity be (i) identifiable as a distinct political entity with a defined period of existence, and (ii) classifiable along the dimensions described below. Each polity is coded on multiple variables: predominant resource base (stock or flow), stock index (0–1 continuous), trade openness (0–1 continuous), closure type, historical outcome, geographic barrier, external threat level, relative population, technological position, institutional quality, regime duration, and presence of an external patron. The complete dataset, including modern-country equivalents and turning-point events, is provided in Supplementary Table S1.</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3.1).</w:t>
      </w:r>
    </w:p>
    <w:p>
      <w:pPr>
        <w:pStyle w:val="Heading2"/>
      </w:pPr>
      <w:r>
        <w:t>2.2  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network exclusion—involuntary isolation from the dominant exchange network of the era due to geographic or technological constraints (not limited to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if structural exclusion produces the same outcomes as deliberate closure, the causal mechanism must lie in the disconnection itself rather than in the decision to disconnect.</w:t>
      </w:r>
    </w:p>
    <w:p>
      <w:pPr>
        <w:pStyle w:val="Heading2"/>
      </w:pPr>
      <w:r>
        <w:t>2.3  Technical network exclusion: definition and candidates</w:t>
      </w:r>
    </w:p>
    <w:p>
      <w:r>
        <w:t>We define technical network exclusion, in its maritime-era form, as the condition in which no regular sea routes connected a polity to the major trading systems of its period. The key distinction from policy-based closure is the absence of agency: these polities did not choose isolation. Rather, the transport technology of their era had not yet extended regular maritime connectivity to their region.</w:t>
      </w:r>
    </w:p>
    <w:p>
      <w:r>
        <w:t>We identify seven reclassification candidates in two tiers (Table 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Polity</w:t>
            </w:r>
          </w:p>
        </w:tc>
        <w:tc>
          <w:tcPr>
            <w:tcW w:type="dxa" w:w="1881"/>
          </w:tcPr>
          <w:p>
            <w:r>
              <w:rPr>
                <w:b/>
                <w:sz w:val="20"/>
              </w:rPr>
              <w:t>Period</w:t>
            </w:r>
          </w:p>
        </w:tc>
        <w:tc>
          <w:tcPr>
            <w:tcW w:type="dxa" w:w="1881"/>
          </w:tcPr>
          <w:p>
            <w:r>
              <w:rPr>
                <w:b/>
                <w:sz w:val="20"/>
              </w:rPr>
              <w:t>Tier</w:t>
            </w:r>
          </w:p>
        </w:tc>
        <w:tc>
          <w:tcPr>
            <w:tcW w:type="dxa" w:w="1881"/>
          </w:tcPr>
          <w:p>
            <w:r>
              <w:rPr>
                <w:b/>
                <w:sz w:val="20"/>
              </w:rPr>
              <w:t>Original Closure</w:t>
            </w:r>
          </w:p>
        </w:tc>
        <w:tc>
          <w:tcPr>
            <w:tcW w:type="dxa" w:w="1881"/>
          </w:tcPr>
          <w:p>
            <w:r>
              <w:rPr>
                <w:b/>
                <w:sz w:val="20"/>
              </w:rPr>
              <w:t>Rationale</w:t>
            </w:r>
          </w:p>
        </w:tc>
      </w:tr>
      <w:tr>
        <w:tc>
          <w:tcPr>
            <w:tcW w:type="dxa" w:w="1881"/>
          </w:tcPr>
          <w:p>
            <w:r>
              <w:rPr>
                <w:sz w:val="18"/>
              </w:rPr>
              <w:t>Han Dynasty (China)</w:t>
            </w:r>
          </w:p>
        </w:tc>
        <w:tc>
          <w:tcPr>
            <w:tcW w:type="dxa" w:w="1881"/>
          </w:tcPr>
          <w:p>
            <w:r>
              <w:rPr>
                <w:sz w:val="18"/>
              </w:rPr>
              <w:t>BC206-AD220</w:t>
            </w:r>
          </w:p>
        </w:tc>
        <w:tc>
          <w:tcPr>
            <w:tcW w:type="dxa" w:w="1881"/>
          </w:tcPr>
          <w:p>
            <w:r>
              <w:rPr>
                <w:sz w:val="18"/>
              </w:rPr>
              <w:t>Strong</w:t>
            </w:r>
          </w:p>
        </w:tc>
        <w:tc>
          <w:tcPr>
            <w:tcW w:type="dxa" w:w="1881"/>
          </w:tcPr>
          <w:p>
            <w:r>
              <w:rPr>
                <w:sz w:val="18"/>
              </w:rPr>
              <w:t>None</w:t>
            </w:r>
          </w:p>
        </w:tc>
        <w:tc>
          <w:tcPr>
            <w:tcW w:type="dxa" w:w="1881"/>
          </w:tcPr>
          <w:p>
            <w:r>
              <w:rPr>
                <w:sz w:val="18"/>
              </w:rPr>
              <w:t>No regular sea route from Mediterranean. Silk Road overland only.</w:t>
            </w:r>
          </w:p>
        </w:tc>
      </w:tr>
      <w:tr>
        <w:tc>
          <w:tcPr>
            <w:tcW w:type="dxa" w:w="1881"/>
          </w:tcPr>
          <w:p>
            <w:r>
              <w:rPr>
                <w:sz w:val="18"/>
              </w:rPr>
              <w:t>Mali Empire</w:t>
            </w:r>
          </w:p>
        </w:tc>
        <w:tc>
          <w:tcPr>
            <w:tcW w:type="dxa" w:w="1881"/>
          </w:tcPr>
          <w:p>
            <w:r>
              <w:rPr>
                <w:sz w:val="18"/>
              </w:rPr>
              <w:t>AD1235-AD1600</w:t>
            </w:r>
          </w:p>
        </w:tc>
        <w:tc>
          <w:tcPr>
            <w:tcW w:type="dxa" w:w="1881"/>
          </w:tcPr>
          <w:p>
            <w:r>
              <w:rPr>
                <w:sz w:val="18"/>
              </w:rPr>
              <w:t>Strong</w:t>
            </w:r>
          </w:p>
        </w:tc>
        <w:tc>
          <w:tcPr>
            <w:tcW w:type="dxa" w:w="1881"/>
          </w:tcPr>
          <w:p>
            <w:r>
              <w:rPr>
                <w:sz w:val="18"/>
              </w:rPr>
              <w:t>None</w:t>
            </w:r>
          </w:p>
        </w:tc>
        <w:tc>
          <w:tcPr>
            <w:tcW w:type="dxa" w:w="1881"/>
          </w:tcPr>
          <w:p>
            <w:r>
              <w:rPr>
                <w:sz w:val="18"/>
              </w:rPr>
              <w:t>No Atlantic maritime route until Portuguese exploration (15th c.). Trans-Saharan caravan only.</w:t>
            </w:r>
          </w:p>
        </w:tc>
      </w:tr>
      <w:tr>
        <w:tc>
          <w:tcPr>
            <w:tcW w:type="dxa" w:w="1881"/>
          </w:tcPr>
          <w:p>
            <w:r>
              <w:rPr>
                <w:sz w:val="18"/>
              </w:rPr>
              <w:t>Khmer Empire (Angkor)</w:t>
            </w:r>
          </w:p>
        </w:tc>
        <w:tc>
          <w:tcPr>
            <w:tcW w:type="dxa" w:w="1881"/>
          </w:tcPr>
          <w:p>
            <w:r>
              <w:rPr>
                <w:sz w:val="18"/>
              </w:rPr>
              <w:t>AD802-AD1431</w:t>
            </w:r>
          </w:p>
        </w:tc>
        <w:tc>
          <w:tcPr>
            <w:tcW w:type="dxa" w:w="1881"/>
          </w:tcPr>
          <w:p>
            <w:r>
              <w:rPr>
                <w:sz w:val="18"/>
              </w:rPr>
              <w:t>Strong</w:t>
            </w:r>
          </w:p>
        </w:tc>
        <w:tc>
          <w:tcPr>
            <w:tcW w:type="dxa" w:w="1881"/>
          </w:tcPr>
          <w:p>
            <w:r>
              <w:rPr>
                <w:sz w:val="18"/>
              </w:rPr>
              <w:t>None</w:t>
            </w:r>
          </w:p>
        </w:tc>
        <w:tc>
          <w:tcPr>
            <w:tcW w:type="dxa" w:w="1881"/>
          </w:tcPr>
          <w:p>
            <w:r>
              <w:rPr>
                <w:sz w:val="18"/>
              </w:rPr>
              <w:t>Inland polity; no direct oceanic access unlike maritime Srivijaya.</w:t>
            </w:r>
          </w:p>
        </w:tc>
      </w:tr>
      <w:tr>
        <w:tc>
          <w:tcPr>
            <w:tcW w:type="dxa" w:w="1881"/>
          </w:tcPr>
          <w:p>
            <w:r>
              <w:rPr>
                <w:sz w:val="18"/>
              </w:rPr>
              <w:t>Kievan Rus'</w:t>
            </w:r>
          </w:p>
        </w:tc>
        <w:tc>
          <w:tcPr>
            <w:tcW w:type="dxa" w:w="1881"/>
          </w:tcPr>
          <w:p>
            <w:r>
              <w:rPr>
                <w:sz w:val="18"/>
              </w:rPr>
              <w:t>AD882-AD1240</w:t>
            </w:r>
          </w:p>
        </w:tc>
        <w:tc>
          <w:tcPr>
            <w:tcW w:type="dxa" w:w="1881"/>
          </w:tcPr>
          <w:p>
            <w:r>
              <w:rPr>
                <w:sz w:val="18"/>
              </w:rPr>
              <w:t>Strong</w:t>
            </w:r>
          </w:p>
        </w:tc>
        <w:tc>
          <w:tcPr>
            <w:tcW w:type="dxa" w:w="1881"/>
          </w:tcPr>
          <w:p>
            <w:r>
              <w:rPr>
                <w:sz w:val="18"/>
              </w:rPr>
              <w:t>None</w:t>
            </w:r>
          </w:p>
        </w:tc>
        <w:tc>
          <w:tcPr>
            <w:tcW w:type="dxa" w:w="1881"/>
          </w:tcPr>
          <w:p>
            <w:r>
              <w:rPr>
                <w:sz w:val="18"/>
              </w:rPr>
              <w:t>Dnieper river trade (Varangian route); no regular oceanic routes.</w:t>
            </w:r>
          </w:p>
        </w:tc>
      </w:tr>
      <w:tr>
        <w:tc>
          <w:tcPr>
            <w:tcW w:type="dxa" w:w="1881"/>
          </w:tcPr>
          <w:p>
            <w:r>
              <w:rPr>
                <w:sz w:val="18"/>
              </w:rPr>
              <w:t>Timurid Empire</w:t>
            </w:r>
          </w:p>
        </w:tc>
        <w:tc>
          <w:tcPr>
            <w:tcW w:type="dxa" w:w="1881"/>
          </w:tcPr>
          <w:p>
            <w:r>
              <w:rPr>
                <w:sz w:val="18"/>
              </w:rPr>
              <w:t>AD1370-AD1507</w:t>
            </w:r>
          </w:p>
        </w:tc>
        <w:tc>
          <w:tcPr>
            <w:tcW w:type="dxa" w:w="1881"/>
          </w:tcPr>
          <w:p>
            <w:r>
              <w:rPr>
                <w:sz w:val="18"/>
              </w:rPr>
              <w:t>Strong</w:t>
            </w:r>
          </w:p>
        </w:tc>
        <w:tc>
          <w:tcPr>
            <w:tcW w:type="dxa" w:w="1881"/>
          </w:tcPr>
          <w:p>
            <w:r>
              <w:rPr>
                <w:sz w:val="18"/>
              </w:rPr>
              <w:t>None</w:t>
            </w:r>
          </w:p>
        </w:tc>
        <w:tc>
          <w:tcPr>
            <w:tcW w:type="dxa" w:w="1881"/>
          </w:tcPr>
          <w:p>
            <w:r>
              <w:rPr>
                <w:sz w:val="18"/>
              </w:rPr>
              <w:t>Completely landlocked; no maritime access. Silk Road overland only.</w:t>
            </w:r>
          </w:p>
        </w:tc>
      </w:tr>
      <w:tr>
        <w:tc>
          <w:tcPr>
            <w:tcW w:type="dxa" w:w="1881"/>
          </w:tcPr>
          <w:p>
            <w:r>
              <w:rPr>
                <w:sz w:val="18"/>
              </w:rPr>
              <w:t>Sasanian Persia</w:t>
            </w:r>
          </w:p>
        </w:tc>
        <w:tc>
          <w:tcPr>
            <w:tcW w:type="dxa" w:w="1881"/>
          </w:tcPr>
          <w:p>
            <w:r>
              <w:rPr>
                <w:sz w:val="18"/>
              </w:rPr>
              <w:t>AD224-AD651</w:t>
            </w:r>
          </w:p>
        </w:tc>
        <w:tc>
          <w:tcPr>
            <w:tcW w:type="dxa" w:w="1881"/>
          </w:tcPr>
          <w:p>
            <w:r>
              <w:rPr>
                <w:sz w:val="18"/>
              </w:rPr>
              <w:t>Moderate</w:t>
            </w:r>
          </w:p>
        </w:tc>
        <w:tc>
          <w:tcPr>
            <w:tcW w:type="dxa" w:w="1881"/>
          </w:tcPr>
          <w:p>
            <w:r>
              <w:rPr>
                <w:sz w:val="18"/>
              </w:rPr>
              <w:t>None</w:t>
            </w:r>
          </w:p>
        </w:tc>
        <w:tc>
          <w:tcPr>
            <w:tcW w:type="dxa" w:w="1881"/>
          </w:tcPr>
          <w:p>
            <w:r>
              <w:rPr>
                <w:sz w:val="18"/>
              </w:rPr>
              <w:t>Limited Persian Gulf trade; no regular Indian Ocean/Mediterranean sea routes established.</w:t>
            </w:r>
          </w:p>
        </w:tc>
      </w:tr>
      <w:tr>
        <w:tc>
          <w:tcPr>
            <w:tcW w:type="dxa" w:w="1881"/>
          </w:tcPr>
          <w:p>
            <w:r>
              <w:rPr>
                <w:sz w:val="18"/>
              </w:rPr>
              <w:t>Konbaung Burma</w:t>
            </w:r>
          </w:p>
        </w:tc>
        <w:tc>
          <w:tcPr>
            <w:tcW w:type="dxa" w:w="1881"/>
          </w:tcPr>
          <w:p>
            <w:r>
              <w:rPr>
                <w:sz w:val="18"/>
              </w:rPr>
              <w:t>AD1752-AD1885</w:t>
            </w:r>
          </w:p>
        </w:tc>
        <w:tc>
          <w:tcPr>
            <w:tcW w:type="dxa" w:w="1881"/>
          </w:tcPr>
          <w:p>
            <w:r>
              <w:rPr>
                <w:sz w:val="18"/>
              </w:rPr>
              <w:t>Moderate</w:t>
            </w:r>
          </w:p>
        </w:tc>
        <w:tc>
          <w:tcPr>
            <w:tcW w:type="dxa" w:w="1881"/>
          </w:tcPr>
          <w:p>
            <w:r>
              <w:rPr>
                <w:sz w:val="18"/>
              </w:rPr>
              <w:t>None</w:t>
            </w:r>
          </w:p>
        </w:tc>
        <w:tc>
          <w:tcPr>
            <w:tcW w:type="dxa" w:w="1881"/>
          </w:tcPr>
          <w:p>
            <w:r>
              <w:rPr>
                <w:sz w:val="18"/>
              </w:rPr>
              <w:t>Coastal access existed but no regular international sea routes until British arrival.</w:t>
            </w:r>
          </w:p>
        </w:tc>
      </w:tr>
    </w:tbl>
    <w:p>
      <w:r>
        <w:rPr>
          <w:b/>
          <w:sz w:val="20"/>
        </w:rPr>
        <w:t xml:space="preserve">Table 1  </w:t>
      </w:r>
      <w:r>
        <w:rPr>
          <w:sz w:val="20"/>
        </w:rPr>
        <w:t>Technical network exclusion reclassification candidates. 'Strong' candidates were structurally excluded from the dominant exchange network of their era; 'Moderate' candidates had limited or uncertain connectivity.</w:t>
      </w:r>
    </w:p>
    <w:p>
      <w:pPr>
        <w:pStyle w:val="Heading1"/>
      </w:pPr>
      <w:r>
        <w:t>3  Methods</w:t>
      </w:r>
    </w:p>
    <w:p>
      <w:pPr>
        <w:pStyle w:val="Heading2"/>
      </w:pPr>
      <w:r>
        <w:t>3.1  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 overtaken' scenario, all 18 are coded as conquered (yielding 64 conquered, 32 survived); in the 'disrupted → survived' scenario, they are coded as having survived (46 conquered, 50 survived). Crossed with three closure reclassification levels (baseline, +5 strong candidates, +7 all candidates), this produces 3 × 2 = 6 scenarios. All results are reported across all six to demonstrate robustness.</w:t>
      </w:r>
    </w:p>
    <w:p>
      <w:pPr>
        <w:pStyle w:val="Heading2"/>
      </w:pPr>
      <w:r>
        <w:t>3.2  Stock–flow association</w:t>
      </w:r>
    </w:p>
    <w:p>
      <w:r>
        <w:t>We construct 2 × 2 tables crossing the predominant resource base (stock vs. flow) against the binarized outcome (overtaken vs. survived) and compute the odds ratio (OR), phi coefficient (φ), one-sided Fisher's exact test, and chi-squared test with Yates correction. Effect sizes are interpreted using Cohen's benchmarks for φ.</w:t>
      </w:r>
    </w:p>
    <w:p>
      <w:pPr>
        <w:pStyle w:val="Heading2"/>
      </w:pPr>
      <w:r>
        <w:t>3.3  Closure–conquest association</w:t>
      </w:r>
    </w:p>
    <w:p>
      <w:r>
        <w:t>For each of the six scenarios, we construct a 2 × 2 table crossing closure status (maritime closure vs. open) against the binarized outcome. The 'maritime closure' group includes polities coded as maritime ban, sakoku, or technical network exclusion. We compute one-sided Fisher's exact tests evaluating whether closure is associated with elevated conquest rates, and report relative risks alongside p-values.</w:t>
      </w:r>
    </w:p>
    <w:p>
      <w:pPr>
        <w:pStyle w:val="Heading2"/>
      </w:pPr>
      <w:r>
        <w:t>3.4  Multivariate logistic regression</w:t>
      </w:r>
    </w:p>
    <w:p>
      <w:r>
        <w:t>To assess whether the closure–conquest association survives adjustment for confounders, we fit logistic regression models with the binarized outcome as the dependent variable and the following covariates: stock-dominant indicator, geographic barrier, external threat level, technological position, institutional quality, era (coded ordinally), external patron indicator, and a maritime closure indicator. We report exponentiated coefficients (odds ratios) with 95% confidence intervals.</w:t>
      </w:r>
    </w:p>
    <w:p>
      <w:pPr>
        <w:pStyle w:val="Heading2"/>
      </w:pPr>
      <w:r>
        <w:t>3.5  Bootstrap validation</w:t>
      </w:r>
    </w:p>
    <w:p>
      <w:r>
        <w:t>We validate the stock–flow OR using a nonparametric bootstrap (5,000 resamples, percentile method, seed = 42). This provides a distribution-free confidence interval that does not depend on asymptotic normality—a relevant consideration given the modest sample size.</w:t>
      </w:r>
    </w:p>
    <w:p>
      <w:pPr>
        <w:pStyle w:val="Heading1"/>
      </w:pPr>
      <w:r>
        <w:t>4  Results</w:t>
      </w:r>
    </w:p>
    <w:p>
      <w:pPr>
        <w:pStyle w:val="Heading2"/>
      </w:pPr>
      <w:r>
        <w:t>4.1  Baseline stock–flow association</w:t>
      </w:r>
    </w:p>
    <w:p>
      <w:r>
        <w:t>Under the disrupted → overtaken assignment, the stock–flow 2 × 2 table yields OR = 1.774, φ = 0.133, Fisher's exact p = 0.1390 (one-sided). Stock-oriented polities have a conquest rate of 73.3%, compared with 60.8% for flow-oriented polities—a small-to-medium effect by Cohen's benchmarks. Under the disrupted →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4.2  Maritime closure and conquest</w:t>
      </w:r>
    </w:p>
    <w:p>
      <w:r>
        <w:t>Table 2 reports the closure–conquest association across all six scenarios. At baseline under the disrupted → overtaken assignment, polities with some form of maritime closure have a conquest rate of 80.0%, compared with 64.2% for open polities (Fisher p = 0.1873, not significant). Reclassifying five strong candidates as technically excluded raises the closure-group conquest rate to 85.0% (Fisher p = 0.0413). Including all seven candidates strengthens the association further: conquest rate = 86.4%, Fisher p = 0.0204 (Fig. 1, Fig. 2). The progressive strengthening of significance as technically excluded polities are added suggests that these polities genuinely belong in the closure group rather than among the open polities.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8"/>
              </w:rPr>
              <w:t>Disrupted As</w:t>
            </w:r>
          </w:p>
        </w:tc>
        <w:tc>
          <w:tcPr>
            <w:tcW w:type="dxa" w:w="1176"/>
          </w:tcPr>
          <w:p>
            <w:r>
              <w:rPr>
                <w:b/>
                <w:sz w:val="18"/>
              </w:rPr>
              <w:t>Reclassification</w:t>
            </w:r>
          </w:p>
        </w:tc>
        <w:tc>
          <w:tcPr>
            <w:tcW w:type="dxa" w:w="1176"/>
          </w:tcPr>
          <w:p>
            <w:r>
              <w:rPr>
                <w:b/>
                <w:sz w:val="18"/>
              </w:rPr>
              <w:t>Closure n</w:t>
            </w:r>
          </w:p>
        </w:tc>
        <w:tc>
          <w:tcPr>
            <w:tcW w:type="dxa" w:w="1176"/>
          </w:tcPr>
          <w:p>
            <w:r>
              <w:rPr>
                <w:b/>
                <w:sz w:val="18"/>
              </w:rPr>
              <w:t>Closure Rate</w:t>
            </w:r>
          </w:p>
        </w:tc>
        <w:tc>
          <w:tcPr>
            <w:tcW w:type="dxa" w:w="1176"/>
          </w:tcPr>
          <w:p>
            <w:r>
              <w:rPr>
                <w:b/>
                <w:sz w:val="18"/>
              </w:rPr>
              <w:t>Open Rate</w:t>
            </w:r>
          </w:p>
        </w:tc>
        <w:tc>
          <w:tcPr>
            <w:tcW w:type="dxa" w:w="1176"/>
          </w:tcPr>
          <w:p>
            <w:r>
              <w:rPr>
                <w:b/>
                <w:sz w:val="18"/>
              </w:rPr>
              <w:t>RR</w:t>
            </w:r>
          </w:p>
        </w:tc>
        <w:tc>
          <w:tcPr>
            <w:tcW w:type="dxa" w:w="1176"/>
          </w:tcPr>
          <w:p>
            <w:r>
              <w:rPr>
                <w:b/>
                <w:sz w:val="18"/>
              </w:rPr>
              <w:t>Fisher p</w:t>
            </w:r>
          </w:p>
        </w:tc>
        <w:tc>
          <w:tcPr>
            <w:tcW w:type="dxa" w:w="1176"/>
          </w:tcPr>
          <w:p>
            <w:r>
              <w:rPr>
                <w:b/>
                <w:sz w:val="18"/>
              </w:rPr>
              <w:t>Sig.</w:t>
            </w:r>
          </w:p>
        </w:tc>
      </w:tr>
      <w:tr>
        <w:tc>
          <w:tcPr>
            <w:tcW w:type="dxa" w:w="1176"/>
          </w:tcPr>
          <w:p>
            <w:r>
              <w:rPr>
                <w:sz w:val="18"/>
              </w:rPr>
              <w:t>Overtaken</w:t>
            </w:r>
          </w:p>
        </w:tc>
        <w:tc>
          <w:tcPr>
            <w:tcW w:type="dxa" w:w="1176"/>
          </w:tcPr>
          <w:p>
            <w:r>
              <w:rPr>
                <w:sz w:val="18"/>
              </w:rPr>
              <w:t>Baseline</w:t>
            </w:r>
          </w:p>
        </w:tc>
        <w:tc>
          <w:tcPr>
            <w:tcW w:type="dxa" w:w="1176"/>
          </w:tcPr>
          <w:p>
            <w:r>
              <w:rPr>
                <w:sz w:val="18"/>
              </w:rPr>
              <w:t>15</w:t>
            </w:r>
          </w:p>
        </w:tc>
        <w:tc>
          <w:tcPr>
            <w:tcW w:type="dxa" w:w="1176"/>
          </w:tcPr>
          <w:p>
            <w:r>
              <w:rPr>
                <w:sz w:val="18"/>
              </w:rPr>
              <w:t>80.0%</w:t>
            </w:r>
          </w:p>
        </w:tc>
        <w:tc>
          <w:tcPr>
            <w:tcW w:type="dxa" w:w="1176"/>
          </w:tcPr>
          <w:p>
            <w:r>
              <w:rPr>
                <w:sz w:val="18"/>
              </w:rPr>
              <w:t>64.2%</w:t>
            </w:r>
          </w:p>
        </w:tc>
        <w:tc>
          <w:tcPr>
            <w:tcW w:type="dxa" w:w="1176"/>
          </w:tcPr>
          <w:p>
            <w:r>
              <w:rPr>
                <w:sz w:val="18"/>
              </w:rPr>
              <w:t>1.246</w:t>
            </w:r>
          </w:p>
        </w:tc>
        <w:tc>
          <w:tcPr>
            <w:tcW w:type="dxa" w:w="1176"/>
          </w:tcPr>
          <w:p>
            <w:r>
              <w:rPr>
                <w:sz w:val="18"/>
              </w:rPr>
              <w:t>0.1873</w:t>
            </w:r>
          </w:p>
        </w:tc>
        <w:tc>
          <w:tcPr>
            <w:tcW w:type="dxa" w:w="1176"/>
          </w:tcPr>
          <w:p>
            <w:r>
              <w:rPr>
                <w:sz w:val="18"/>
              </w:rPr>
            </w:r>
          </w:p>
        </w:tc>
      </w:tr>
      <w:tr>
        <w:tc>
          <w:tcPr>
            <w:tcW w:type="dxa" w:w="1176"/>
          </w:tcPr>
          <w:p>
            <w:r>
              <w:rPr>
                <w:sz w:val="18"/>
              </w:rPr>
              <w:t>Overtaken</w:t>
            </w:r>
          </w:p>
        </w:tc>
        <w:tc>
          <w:tcPr>
            <w:tcW w:type="dxa" w:w="1176"/>
          </w:tcPr>
          <w:p>
            <w:r>
              <w:rPr>
                <w:sz w:val="18"/>
              </w:rPr>
              <w:t>+5 Strong</w:t>
            </w:r>
          </w:p>
        </w:tc>
        <w:tc>
          <w:tcPr>
            <w:tcW w:type="dxa" w:w="1176"/>
          </w:tcPr>
          <w:p>
            <w:r>
              <w:rPr>
                <w:sz w:val="18"/>
              </w:rPr>
              <w:t>20</w:t>
            </w:r>
          </w:p>
        </w:tc>
        <w:tc>
          <w:tcPr>
            <w:tcW w:type="dxa" w:w="1176"/>
          </w:tcPr>
          <w:p>
            <w:r>
              <w:rPr>
                <w:sz w:val="18"/>
              </w:rPr>
              <w:t>85.0%</w:t>
            </w:r>
          </w:p>
        </w:tc>
        <w:tc>
          <w:tcPr>
            <w:tcW w:type="dxa" w:w="1176"/>
          </w:tcPr>
          <w:p>
            <w:r>
              <w:rPr>
                <w:sz w:val="18"/>
              </w:rPr>
              <w:t>61.8%</w:t>
            </w:r>
          </w:p>
        </w:tc>
        <w:tc>
          <w:tcPr>
            <w:tcW w:type="dxa" w:w="1176"/>
          </w:tcPr>
          <w:p>
            <w:r>
              <w:rPr>
                <w:sz w:val="18"/>
              </w:rPr>
              <w:t>1.374</w:t>
            </w:r>
          </w:p>
        </w:tc>
        <w:tc>
          <w:tcPr>
            <w:tcW w:type="dxa" w:w="1176"/>
          </w:tcPr>
          <w:p>
            <w:r>
              <w:rPr>
                <w:sz w:val="18"/>
              </w:rPr>
              <w:t>0.0413</w:t>
            </w:r>
          </w:p>
        </w:tc>
        <w:tc>
          <w:tcPr>
            <w:tcW w:type="dxa" w:w="1176"/>
          </w:tcPr>
          <w:p>
            <w:r>
              <w:rPr>
                <w:sz w:val="18"/>
              </w:rPr>
              <w:t>*</w:t>
            </w:r>
          </w:p>
        </w:tc>
      </w:tr>
      <w:tr>
        <w:tc>
          <w:tcPr>
            <w:tcW w:type="dxa" w:w="1176"/>
          </w:tcPr>
          <w:p>
            <w:r>
              <w:rPr>
                <w:sz w:val="18"/>
              </w:rPr>
              <w:t>Overtaken</w:t>
            </w:r>
          </w:p>
        </w:tc>
        <w:tc>
          <w:tcPr>
            <w:tcW w:type="dxa" w:w="1176"/>
          </w:tcPr>
          <w:p>
            <w:r>
              <w:rPr>
                <w:sz w:val="18"/>
              </w:rPr>
              <w:t>+7 All</w:t>
            </w:r>
          </w:p>
        </w:tc>
        <w:tc>
          <w:tcPr>
            <w:tcW w:type="dxa" w:w="1176"/>
          </w:tcPr>
          <w:p>
            <w:r>
              <w:rPr>
                <w:sz w:val="18"/>
              </w:rPr>
              <w:t>22</w:t>
            </w:r>
          </w:p>
        </w:tc>
        <w:tc>
          <w:tcPr>
            <w:tcW w:type="dxa" w:w="1176"/>
          </w:tcPr>
          <w:p>
            <w:r>
              <w:rPr>
                <w:sz w:val="18"/>
              </w:rPr>
              <w:t>86.4%</w:t>
            </w:r>
          </w:p>
        </w:tc>
        <w:tc>
          <w:tcPr>
            <w:tcW w:type="dxa" w:w="1176"/>
          </w:tcPr>
          <w:p>
            <w:r>
              <w:rPr>
                <w:sz w:val="18"/>
              </w:rPr>
              <w:t>60.8%</w:t>
            </w:r>
          </w:p>
        </w:tc>
        <w:tc>
          <w:tcPr>
            <w:tcW w:type="dxa" w:w="1176"/>
          </w:tcPr>
          <w:p>
            <w:r>
              <w:rPr>
                <w:sz w:val="18"/>
              </w:rPr>
              <w:t>1.420</w:t>
            </w:r>
          </w:p>
        </w:tc>
        <w:tc>
          <w:tcPr>
            <w:tcW w:type="dxa" w:w="1176"/>
          </w:tcPr>
          <w:p>
            <w:r>
              <w:rPr>
                <w:sz w:val="18"/>
              </w:rPr>
              <w:t>0.0204</w:t>
            </w:r>
          </w:p>
        </w:tc>
        <w:tc>
          <w:tcPr>
            <w:tcW w:type="dxa" w:w="1176"/>
          </w:tcPr>
          <w:p>
            <w:r>
              <w:rPr>
                <w:sz w:val="18"/>
              </w:rPr>
              <w:t>*</w:t>
            </w:r>
          </w:p>
        </w:tc>
      </w:tr>
      <w:tr>
        <w:tc>
          <w:tcPr>
            <w:tcW w:type="dxa" w:w="1176"/>
          </w:tcPr>
          <w:p>
            <w:r>
              <w:rPr>
                <w:sz w:val="18"/>
              </w:rPr>
              <w:t>Survived</w:t>
            </w:r>
          </w:p>
        </w:tc>
        <w:tc>
          <w:tcPr>
            <w:tcW w:type="dxa" w:w="1176"/>
          </w:tcPr>
          <w:p>
            <w:r>
              <w:rPr>
                <w:sz w:val="18"/>
              </w:rPr>
              <w:t>Baseline</w:t>
            </w:r>
          </w:p>
        </w:tc>
        <w:tc>
          <w:tcPr>
            <w:tcW w:type="dxa" w:w="1176"/>
          </w:tcPr>
          <w:p>
            <w:r>
              <w:rPr>
                <w:sz w:val="18"/>
              </w:rPr>
              <w:t>15</w:t>
            </w:r>
          </w:p>
        </w:tc>
        <w:tc>
          <w:tcPr>
            <w:tcW w:type="dxa" w:w="1176"/>
          </w:tcPr>
          <w:p>
            <w:r>
              <w:rPr>
                <w:sz w:val="18"/>
              </w:rPr>
              <w:t>66.7%</w:t>
            </w:r>
          </w:p>
        </w:tc>
        <w:tc>
          <w:tcPr>
            <w:tcW w:type="dxa" w:w="1176"/>
          </w:tcPr>
          <w:p>
            <w:r>
              <w:rPr>
                <w:sz w:val="18"/>
              </w:rPr>
              <w:t>44.4%</w:t>
            </w:r>
          </w:p>
        </w:tc>
        <w:tc>
          <w:tcPr>
            <w:tcW w:type="dxa" w:w="1176"/>
          </w:tcPr>
          <w:p>
            <w:r>
              <w:rPr>
                <w:sz w:val="18"/>
              </w:rPr>
              <w:t>1.500</w:t>
            </w:r>
          </w:p>
        </w:tc>
        <w:tc>
          <w:tcPr>
            <w:tcW w:type="dxa" w:w="1176"/>
          </w:tcPr>
          <w:p>
            <w:r>
              <w:rPr>
                <w:sz w:val="18"/>
              </w:rPr>
              <w:t>0.0964</w:t>
            </w:r>
          </w:p>
        </w:tc>
        <w:tc>
          <w:tcPr>
            <w:tcW w:type="dxa" w:w="1176"/>
          </w:tcPr>
          <w:p>
            <w:r>
              <w:rPr>
                <w:sz w:val="18"/>
              </w:rPr>
            </w:r>
          </w:p>
        </w:tc>
      </w:tr>
      <w:tr>
        <w:tc>
          <w:tcPr>
            <w:tcW w:type="dxa" w:w="1176"/>
          </w:tcPr>
          <w:p>
            <w:r>
              <w:rPr>
                <w:sz w:val="18"/>
              </w:rPr>
              <w:t>Survived</w:t>
            </w:r>
          </w:p>
        </w:tc>
        <w:tc>
          <w:tcPr>
            <w:tcW w:type="dxa" w:w="1176"/>
          </w:tcPr>
          <w:p>
            <w:r>
              <w:rPr>
                <w:sz w:val="18"/>
              </w:rPr>
              <w:t>+5 Strong</w:t>
            </w:r>
          </w:p>
        </w:tc>
        <w:tc>
          <w:tcPr>
            <w:tcW w:type="dxa" w:w="1176"/>
          </w:tcPr>
          <w:p>
            <w:r>
              <w:rPr>
                <w:sz w:val="18"/>
              </w:rPr>
              <w:t>20</w:t>
            </w:r>
          </w:p>
        </w:tc>
        <w:tc>
          <w:tcPr>
            <w:tcW w:type="dxa" w:w="1176"/>
          </w:tcPr>
          <w:p>
            <w:r>
              <w:rPr>
                <w:sz w:val="18"/>
              </w:rPr>
              <w:t>75.0%</w:t>
            </w:r>
          </w:p>
        </w:tc>
        <w:tc>
          <w:tcPr>
            <w:tcW w:type="dxa" w:w="1176"/>
          </w:tcPr>
          <w:p>
            <w:r>
              <w:rPr>
                <w:sz w:val="18"/>
              </w:rPr>
              <w:t>40.8%</w:t>
            </w:r>
          </w:p>
        </w:tc>
        <w:tc>
          <w:tcPr>
            <w:tcW w:type="dxa" w:w="1176"/>
          </w:tcPr>
          <w:p>
            <w:r>
              <w:rPr>
                <w:sz w:val="18"/>
              </w:rPr>
              <w:t>1.839</w:t>
            </w:r>
          </w:p>
        </w:tc>
        <w:tc>
          <w:tcPr>
            <w:tcW w:type="dxa" w:w="1176"/>
          </w:tcPr>
          <w:p>
            <w:r>
              <w:rPr>
                <w:sz w:val="18"/>
              </w:rPr>
              <w:t>0.0062</w:t>
            </w:r>
          </w:p>
        </w:tc>
        <w:tc>
          <w:tcPr>
            <w:tcW w:type="dxa" w:w="1176"/>
          </w:tcPr>
          <w:p>
            <w:r>
              <w:rPr>
                <w:sz w:val="18"/>
              </w:rPr>
              <w:t>*</w:t>
            </w:r>
          </w:p>
        </w:tc>
      </w:tr>
      <w:tr>
        <w:tc>
          <w:tcPr>
            <w:tcW w:type="dxa" w:w="1176"/>
          </w:tcPr>
          <w:p>
            <w:r>
              <w:rPr>
                <w:sz w:val="18"/>
              </w:rPr>
              <w:t>Survived</w:t>
            </w:r>
          </w:p>
        </w:tc>
        <w:tc>
          <w:tcPr>
            <w:tcW w:type="dxa" w:w="1176"/>
          </w:tcPr>
          <w:p>
            <w:r>
              <w:rPr>
                <w:sz w:val="18"/>
              </w:rPr>
              <w:t>+7 All</w:t>
            </w:r>
          </w:p>
        </w:tc>
        <w:tc>
          <w:tcPr>
            <w:tcW w:type="dxa" w:w="1176"/>
          </w:tcPr>
          <w:p>
            <w:r>
              <w:rPr>
                <w:sz w:val="18"/>
              </w:rPr>
              <w:t>22</w:t>
            </w:r>
          </w:p>
        </w:tc>
        <w:tc>
          <w:tcPr>
            <w:tcW w:type="dxa" w:w="1176"/>
          </w:tcPr>
          <w:p>
            <w:r>
              <w:rPr>
                <w:sz w:val="18"/>
              </w:rPr>
              <w:t>77.3%</w:t>
            </w:r>
          </w:p>
        </w:tc>
        <w:tc>
          <w:tcPr>
            <w:tcW w:type="dxa" w:w="1176"/>
          </w:tcPr>
          <w:p>
            <w:r>
              <w:rPr>
                <w:sz w:val="18"/>
              </w:rPr>
              <w:t>39.2%</w:t>
            </w:r>
          </w:p>
        </w:tc>
        <w:tc>
          <w:tcPr>
            <w:tcW w:type="dxa" w:w="1176"/>
          </w:tcPr>
          <w:p>
            <w:r>
              <w:rPr>
                <w:sz w:val="18"/>
              </w:rPr>
              <w:t>1.972</w:t>
            </w:r>
          </w:p>
        </w:tc>
        <w:tc>
          <w:tcPr>
            <w:tcW w:type="dxa" w:w="1176"/>
          </w:tcPr>
          <w:p>
            <w:r>
              <w:rPr>
                <w:sz w:val="18"/>
              </w:rPr>
              <w:t>0.0017</w:t>
            </w:r>
          </w:p>
        </w:tc>
        <w:tc>
          <w:tcPr>
            <w:tcW w:type="dxa" w:w="1176"/>
          </w:tcPr>
          <w:p>
            <w:r>
              <w:rPr>
                <w:sz w:val="18"/>
              </w:rPr>
              <w:t>*</w:t>
            </w:r>
          </w:p>
        </w:tc>
      </w:tr>
    </w:tbl>
    <w:p>
      <w:r>
        <w:rPr>
          <w:b/>
          <w:sz w:val="20"/>
        </w:rPr>
        <w:t xml:space="preserve">Table 2  </w:t>
      </w:r>
      <w:r>
        <w:rPr>
          <w:sz w:val="20"/>
        </w:rPr>
        <w:t>Maritime closure and conquest across six scenarios. * p &lt; 0.05.</w:t>
      </w:r>
    </w:p>
    <w:p>
      <w:r>
        <w:drawing>
          <wp:inline xmlns:a="http://schemas.openxmlformats.org/drawingml/2006/main" xmlns:pic="http://schemas.openxmlformats.org/drawingml/2006/picture">
            <wp:extent cx="5486400" cy="228215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282158"/>
                    </a:xfrm>
                    <a:prstGeom prst="rect"/>
                  </pic:spPr>
                </pic:pic>
              </a:graphicData>
            </a:graphic>
          </wp:inline>
        </w:drawing>
      </w:r>
    </w:p>
    <w:p>
      <w:r>
        <w:rPr>
          <w:b/>
          <w:sz w:val="20"/>
        </w:rPr>
        <w:t xml:space="preserve">Fig. 1  </w:t>
      </w:r>
      <w:r>
        <w:rPr>
          <w:sz w:val="20"/>
        </w:rPr>
        <w:t>Conquest rates comparing maritime closure vs. no closure polities across three reclassification scenarios under both disrupted assignments.</w:t>
      </w:r>
    </w:p>
    <w:p>
      <w:r>
        <w:drawing>
          <wp:inline xmlns:a="http://schemas.openxmlformats.org/drawingml/2006/main" xmlns:pic="http://schemas.openxmlformats.org/drawingml/2006/picture">
            <wp:extent cx="4572000" cy="28338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4572000" cy="2833868"/>
                    </a:xfrm>
                    <a:prstGeom prst="rect"/>
                  </pic:spPr>
                </pic:pic>
              </a:graphicData>
            </a:graphic>
          </wp:inline>
        </w:drawing>
      </w:r>
    </w:p>
    <w:p>
      <w:r>
        <w:rPr>
          <w:b/>
          <w:sz w:val="20"/>
        </w:rPr>
        <w:t xml:space="preserve">Fig. 2  </w:t>
      </w:r>
      <w:r>
        <w:rPr>
          <w:sz w:val="20"/>
        </w:rPr>
        <w:t>Fisher's exact test p-values for the maritime closure → conquest association as polities are progressively reclassified.</w:t>
      </w:r>
    </w:p>
    <w:p>
      <w:pPr>
        <w:pStyle w:val="Heading1"/>
      </w:pPr>
      <w:r>
        <w:t>5  Sensitivity Analysis: Technical Network Exclusion</w:t>
      </w:r>
    </w:p>
    <w:p>
      <w:pPr>
        <w:pStyle w:val="Heading2"/>
      </w:pPr>
      <w:r>
        <w:t>5.1  Closure-type disaggregation and the dose–response pattern</w:t>
      </w:r>
    </w:p>
    <w:p>
      <w:r>
        <w:t>Figure 3 disaggregates conquest rates by closure type under the 7-country reclassification. A striking gradient emerges. Technically excluded polities—those with zero access to maritime exchange networks—exhibit a 100% conquest rate. Policy-based maritime bans, which restricted but did not entirely eliminate external contact, show lower rates (76.9% under disrupted → overtaken; 69.2% under disrupted → survived). Sakoku polities show 100% and 50%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This ordering—technical exclusion (100%) &gt; policy ban &gt; sakoku (with partial conduit) &gt; bloc &gt; open—is consistent with a dose–response relationship between the degree of technology flow disruption and the probability of conquest. The more completely a polity was severed from the technological frontier of its era, the higher the likelihood that it was eventually overtaken.</w:t>
      </w:r>
    </w:p>
    <w:p>
      <w:r>
        <w:drawing>
          <wp:inline xmlns:a="http://schemas.openxmlformats.org/drawingml/2006/main" xmlns:pic="http://schemas.openxmlformats.org/drawingml/2006/picture">
            <wp:extent cx="5486400" cy="2282797"/>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282797"/>
                    </a:xfrm>
                    <a:prstGeom prst="rect"/>
                  </pic:spPr>
                </pic:pic>
              </a:graphicData>
            </a:graphic>
          </wp:inline>
        </w:drawing>
      </w:r>
    </w:p>
    <w:p>
      <w:r>
        <w:rPr>
          <w:b/>
          <w:sz w:val="20"/>
        </w:rPr>
        <w:t xml:space="preserve">Fig. 3  </w:t>
      </w:r>
      <w:r>
        <w:rPr>
          <w:sz w:val="20"/>
        </w:rPr>
        <w:t>Conquest rates by closure type under the 7-country reclassification scenario.</w:t>
      </w:r>
    </w:p>
    <w:p>
      <w:pPr>
        <w:pStyle w:val="Heading2"/>
      </w:pPr>
      <w:r>
        <w:t>5.2  Robustness of the stock–flow odds ratio</w:t>
      </w:r>
    </w:p>
    <w:p>
      <w:r>
        <w:t>The stock–flow OR = 1.774 is identical across all three reclassification scenarios. This invariance is expected: the reclassification changes the closure-type label but does not alter the stock/flow or outcome coding. Bootstrap validation (5,000 resamples) yields a median OR of 1.794 (95% CI [0.742, 4.601]), confirming the stability of the point estimate and its independence from the closure reclassification.</w:t>
      </w:r>
    </w:p>
    <w:p>
      <w:pPr>
        <w:pStyle w:val="Heading2"/>
      </w:pPr>
      <w:r>
        <w:t>5.3  Multivariate regression stability</w:t>
      </w:r>
    </w:p>
    <w:p>
      <w:r>
        <w:t>Figure 4 presents the multivariate logistic regression results under the 7-country reclassification with disrupted → overtaken. External threat remains the strongest predictor of conquest (p &lt; 0.01 across all scenarios), followed by institutional quality and era (both p &lt; 0.01). The maritime closure indicator is not independently significant after controlling for these covariates. This pattern is informative: it suggests that closure operates not as a direct cause but through the same channels—technological stagnation, institutional decay, and heightened external vulnerability—that the multivariate model already captures (Table 3).</w:t>
      </w:r>
    </w:p>
    <w:p>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r>
        <w:rPr>
          <w:b/>
          <w:sz w:val="20"/>
        </w:rPr>
        <w:t xml:space="preserve">Fig. 4  </w:t>
      </w:r>
      <w:r>
        <w:rPr>
          <w:sz w:val="20"/>
        </w:rPr>
        <w:t>Forest plot of multivariate logistic regression odds ratios (7-country reclassification, disrupted → overtaken).</w:t>
      </w:r>
    </w:p>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20"/>
              </w:rPr>
              <w:t>Variable</w:t>
            </w:r>
          </w:p>
        </w:tc>
        <w:tc>
          <w:tcPr>
            <w:tcW w:type="dxa" w:w="1881"/>
          </w:tcPr>
          <w:p>
            <w:r>
              <w:rPr>
                <w:b/>
                <w:sz w:val="20"/>
              </w:rPr>
              <w:t>OR</w:t>
            </w:r>
          </w:p>
        </w:tc>
        <w:tc>
          <w:tcPr>
            <w:tcW w:type="dxa" w:w="1881"/>
          </w:tcPr>
          <w:p>
            <w:r>
              <w:rPr>
                <w:b/>
                <w:sz w:val="20"/>
              </w:rPr>
              <w:t>95% CI</w:t>
            </w:r>
          </w:p>
        </w:tc>
        <w:tc>
          <w:tcPr>
            <w:tcW w:type="dxa" w:w="1881"/>
          </w:tcPr>
          <w:p>
            <w:r>
              <w:rPr>
                <w:b/>
                <w:sz w:val="20"/>
              </w:rPr>
              <w:t>p-value</w:t>
            </w:r>
          </w:p>
        </w:tc>
        <w:tc>
          <w:tcPr>
            <w:tcW w:type="dxa" w:w="1881"/>
          </w:tcPr>
          <w:p>
            <w:r>
              <w:rPr>
                <w:b/>
                <w:sz w:val="20"/>
              </w:rPr>
              <w:t>Sig.</w:t>
            </w:r>
          </w:p>
        </w:tc>
      </w:tr>
      <w:tr>
        <w:tc>
          <w:tcPr>
            <w:tcW w:type="dxa" w:w="1881"/>
          </w:tcPr>
          <w:p>
            <w:r>
              <w:rPr>
                <w:sz w:val="18"/>
              </w:rPr>
              <w:t>Stock-dominant</w:t>
            </w:r>
          </w:p>
        </w:tc>
        <w:tc>
          <w:tcPr>
            <w:tcW w:type="dxa" w:w="1881"/>
          </w:tcPr>
          <w:p>
            <w:r>
              <w:rPr>
                <w:sz w:val="18"/>
              </w:rPr>
              <w:t>29.619</w:t>
            </w:r>
          </w:p>
        </w:tc>
        <w:tc>
          <w:tcPr>
            <w:tcW w:type="dxa" w:w="1881"/>
          </w:tcPr>
          <w:p>
            <w:r>
              <w:rPr>
                <w:sz w:val="18"/>
              </w:rPr>
              <w:t>[0.452, 1939.410]</w:t>
            </w:r>
          </w:p>
        </w:tc>
        <w:tc>
          <w:tcPr>
            <w:tcW w:type="dxa" w:w="1881"/>
          </w:tcPr>
          <w:p>
            <w:r>
              <w:rPr>
                <w:sz w:val="18"/>
              </w:rPr>
              <w:t>0.1123</w:t>
            </w:r>
          </w:p>
        </w:tc>
        <w:tc>
          <w:tcPr>
            <w:tcW w:type="dxa" w:w="1881"/>
          </w:tcPr>
          <w:p>
            <w:r>
              <w:rPr>
                <w:sz w:val="18"/>
              </w:rPr>
            </w:r>
          </w:p>
        </w:tc>
      </w:tr>
      <w:tr>
        <w:tc>
          <w:tcPr>
            <w:tcW w:type="dxa" w:w="1881"/>
          </w:tcPr>
          <w:p>
            <w:r>
              <w:rPr>
                <w:sz w:val="18"/>
              </w:rPr>
              <w:t>Geographic barrier</w:t>
            </w:r>
          </w:p>
        </w:tc>
        <w:tc>
          <w:tcPr>
            <w:tcW w:type="dxa" w:w="1881"/>
          </w:tcPr>
          <w:p>
            <w:r>
              <w:rPr>
                <w:sz w:val="18"/>
              </w:rPr>
              <w:t>0.003</w:t>
            </w:r>
          </w:p>
        </w:tc>
        <w:tc>
          <w:tcPr>
            <w:tcW w:type="dxa" w:w="1881"/>
          </w:tcPr>
          <w:p>
            <w:r>
              <w:rPr>
                <w:sz w:val="18"/>
              </w:rPr>
              <w:t>[0.000, 2.942]</w:t>
            </w:r>
          </w:p>
        </w:tc>
        <w:tc>
          <w:tcPr>
            <w:tcW w:type="dxa" w:w="1881"/>
          </w:tcPr>
          <w:p>
            <w:r>
              <w:rPr>
                <w:sz w:val="18"/>
              </w:rPr>
              <w:t>0.0983</w:t>
            </w:r>
          </w:p>
        </w:tc>
        <w:tc>
          <w:tcPr>
            <w:tcW w:type="dxa" w:w="1881"/>
          </w:tcPr>
          <w:p>
            <w:r>
              <w:rPr>
                <w:sz w:val="18"/>
              </w:rPr>
              <w:t>†</w:t>
            </w:r>
          </w:p>
        </w:tc>
      </w:tr>
      <w:tr>
        <w:tc>
          <w:tcPr>
            <w:tcW w:type="dxa" w:w="1881"/>
          </w:tcPr>
          <w:p>
            <w:r>
              <w:rPr>
                <w:sz w:val="18"/>
              </w:rPr>
              <w:t>External threat</w:t>
            </w:r>
          </w:p>
        </w:tc>
        <w:tc>
          <w:tcPr>
            <w:tcW w:type="dxa" w:w="1881"/>
          </w:tcPr>
          <w:p>
            <w:r>
              <w:rPr>
                <w:sz w:val="18"/>
              </w:rPr>
              <w:t>1279858.850</w:t>
            </w:r>
          </w:p>
        </w:tc>
        <w:tc>
          <w:tcPr>
            <w:tcW w:type="dxa" w:w="1881"/>
          </w:tcPr>
          <w:p>
            <w:r>
              <w:rPr>
                <w:sz w:val="18"/>
              </w:rPr>
              <w:t>[106.606, &gt;10⁶]</w:t>
            </w:r>
          </w:p>
        </w:tc>
        <w:tc>
          <w:tcPr>
            <w:tcW w:type="dxa" w:w="1881"/>
          </w:tcPr>
          <w:p>
            <w:r>
              <w:rPr>
                <w:sz w:val="18"/>
              </w:rPr>
              <w:t>0.0033</w:t>
            </w:r>
          </w:p>
        </w:tc>
        <w:tc>
          <w:tcPr>
            <w:tcW w:type="dxa" w:w="1881"/>
          </w:tcPr>
          <w:p>
            <w:r>
              <w:rPr>
                <w:sz w:val="18"/>
              </w:rPr>
              <w:t>*</w:t>
            </w:r>
          </w:p>
        </w:tc>
      </w:tr>
      <w:tr>
        <w:tc>
          <w:tcPr>
            <w:tcW w:type="dxa" w:w="1881"/>
          </w:tcPr>
          <w:p>
            <w:r>
              <w:rPr>
                <w:sz w:val="18"/>
              </w:rPr>
              <w:t>Technological position</w:t>
            </w:r>
          </w:p>
        </w:tc>
        <w:tc>
          <w:tcPr>
            <w:tcW w:type="dxa" w:w="1881"/>
          </w:tcPr>
          <w:p>
            <w:r>
              <w:rPr>
                <w:sz w:val="18"/>
              </w:rPr>
              <w:t>6.973</w:t>
            </w:r>
          </w:p>
        </w:tc>
        <w:tc>
          <w:tcPr>
            <w:tcW w:type="dxa" w:w="1881"/>
          </w:tcPr>
          <w:p>
            <w:r>
              <w:rPr>
                <w:sz w:val="18"/>
              </w:rPr>
              <w:t>[0.003, 14940.014]</w:t>
            </w:r>
          </w:p>
        </w:tc>
        <w:tc>
          <w:tcPr>
            <w:tcW w:type="dxa" w:w="1881"/>
          </w:tcPr>
          <w:p>
            <w:r>
              <w:rPr>
                <w:sz w:val="18"/>
              </w:rPr>
              <w:t>0.6197</w:t>
            </w:r>
          </w:p>
        </w:tc>
        <w:tc>
          <w:tcPr>
            <w:tcW w:type="dxa" w:w="1881"/>
          </w:tcPr>
          <w:p>
            <w:r>
              <w:rPr>
                <w:sz w:val="18"/>
              </w:rPr>
            </w:r>
          </w:p>
        </w:tc>
      </w:tr>
      <w:tr>
        <w:tc>
          <w:tcPr>
            <w:tcW w:type="dxa" w:w="1881"/>
          </w:tcPr>
          <w:p>
            <w:r>
              <w:rPr>
                <w:sz w:val="18"/>
              </w:rPr>
              <w:t>Institutional quality</w:t>
            </w:r>
          </w:p>
        </w:tc>
        <w:tc>
          <w:tcPr>
            <w:tcW w:type="dxa" w:w="1881"/>
          </w:tcPr>
          <w:p>
            <w:r>
              <w:rPr>
                <w:sz w:val="18"/>
              </w:rPr>
              <w:t>0.000</w:t>
            </w:r>
          </w:p>
        </w:tc>
        <w:tc>
          <w:tcPr>
            <w:tcW w:type="dxa" w:w="1881"/>
          </w:tcPr>
          <w:p>
            <w:r>
              <w:rPr>
                <w:sz w:val="18"/>
              </w:rPr>
              <w:t>[0.000, 0.020]</w:t>
            </w:r>
          </w:p>
        </w:tc>
        <w:tc>
          <w:tcPr>
            <w:tcW w:type="dxa" w:w="1881"/>
          </w:tcPr>
          <w:p>
            <w:r>
              <w:rPr>
                <w:sz w:val="18"/>
              </w:rPr>
              <w:t>0.0074</w:t>
            </w:r>
          </w:p>
        </w:tc>
        <w:tc>
          <w:tcPr>
            <w:tcW w:type="dxa" w:w="1881"/>
          </w:tcPr>
          <w:p>
            <w:r>
              <w:rPr>
                <w:sz w:val="18"/>
              </w:rPr>
              <w:t>*</w:t>
            </w:r>
          </w:p>
        </w:tc>
      </w:tr>
      <w:tr>
        <w:tc>
          <w:tcPr>
            <w:tcW w:type="dxa" w:w="1881"/>
          </w:tcPr>
          <w:p>
            <w:r>
              <w:rPr>
                <w:sz w:val="18"/>
              </w:rPr>
              <w:t>Era (time)</w:t>
            </w:r>
          </w:p>
        </w:tc>
        <w:tc>
          <w:tcPr>
            <w:tcW w:type="dxa" w:w="1881"/>
          </w:tcPr>
          <w:p>
            <w:r>
              <w:rPr>
                <w:sz w:val="18"/>
              </w:rPr>
              <w:t>0.053</w:t>
            </w:r>
          </w:p>
        </w:tc>
        <w:tc>
          <w:tcPr>
            <w:tcW w:type="dxa" w:w="1881"/>
          </w:tcPr>
          <w:p>
            <w:r>
              <w:rPr>
                <w:sz w:val="18"/>
              </w:rPr>
              <w:t>[0.006, 0.486]</w:t>
            </w:r>
          </w:p>
        </w:tc>
        <w:tc>
          <w:tcPr>
            <w:tcW w:type="dxa" w:w="1881"/>
          </w:tcPr>
          <w:p>
            <w:r>
              <w:rPr>
                <w:sz w:val="18"/>
              </w:rPr>
              <w:t>0.0093</w:t>
            </w:r>
          </w:p>
        </w:tc>
        <w:tc>
          <w:tcPr>
            <w:tcW w:type="dxa" w:w="1881"/>
          </w:tcPr>
          <w:p>
            <w:r>
              <w:rPr>
                <w:sz w:val="18"/>
              </w:rPr>
              <w:t>*</w:t>
            </w:r>
          </w:p>
        </w:tc>
      </w:tr>
      <w:tr>
        <w:tc>
          <w:tcPr>
            <w:tcW w:type="dxa" w:w="1881"/>
          </w:tcPr>
          <w:p>
            <w:r>
              <w:rPr>
                <w:sz w:val="18"/>
              </w:rPr>
              <w:t>External patron</w:t>
            </w:r>
          </w:p>
        </w:tc>
        <w:tc>
          <w:tcPr>
            <w:tcW w:type="dxa" w:w="1881"/>
          </w:tcPr>
          <w:p>
            <w:r>
              <w:rPr>
                <w:sz w:val="18"/>
              </w:rPr>
              <w:t>0.309</w:t>
            </w:r>
          </w:p>
        </w:tc>
        <w:tc>
          <w:tcPr>
            <w:tcW w:type="dxa" w:w="1881"/>
          </w:tcPr>
          <w:p>
            <w:r>
              <w:rPr>
                <w:sz w:val="18"/>
              </w:rPr>
              <w:t>[0.017, 5.520]</w:t>
            </w:r>
          </w:p>
        </w:tc>
        <w:tc>
          <w:tcPr>
            <w:tcW w:type="dxa" w:w="1881"/>
          </w:tcPr>
          <w:p>
            <w:r>
              <w:rPr>
                <w:sz w:val="18"/>
              </w:rPr>
              <w:t>0.4247</w:t>
            </w:r>
          </w:p>
        </w:tc>
        <w:tc>
          <w:tcPr>
            <w:tcW w:type="dxa" w:w="1881"/>
          </w:tcPr>
          <w:p>
            <w:r>
              <w:rPr>
                <w:sz w:val="18"/>
              </w:rPr>
            </w:r>
          </w:p>
        </w:tc>
      </w:tr>
      <w:tr>
        <w:tc>
          <w:tcPr>
            <w:tcW w:type="dxa" w:w="1881"/>
          </w:tcPr>
          <w:p>
            <w:r>
              <w:rPr>
                <w:sz w:val="18"/>
              </w:rPr>
              <w:t>Maritime closure dummy</w:t>
            </w:r>
          </w:p>
        </w:tc>
        <w:tc>
          <w:tcPr>
            <w:tcW w:type="dxa" w:w="1881"/>
          </w:tcPr>
          <w:p>
            <w:r>
              <w:rPr>
                <w:sz w:val="18"/>
              </w:rPr>
              <w:t>0.705</w:t>
            </w:r>
          </w:p>
        </w:tc>
        <w:tc>
          <w:tcPr>
            <w:tcW w:type="dxa" w:w="1881"/>
          </w:tcPr>
          <w:p>
            <w:r>
              <w:rPr>
                <w:sz w:val="18"/>
              </w:rPr>
              <w:t>[0.013, 37.496]</w:t>
            </w:r>
          </w:p>
        </w:tc>
        <w:tc>
          <w:tcPr>
            <w:tcW w:type="dxa" w:w="1881"/>
          </w:tcPr>
          <w:p>
            <w:r>
              <w:rPr>
                <w:sz w:val="18"/>
              </w:rPr>
              <w:t>0.8630</w:t>
            </w:r>
          </w:p>
        </w:tc>
        <w:tc>
          <w:tcPr>
            <w:tcW w:type="dxa" w:w="1881"/>
          </w:tcPr>
          <w:p>
            <w:r>
              <w:rPr>
                <w:sz w:val="18"/>
              </w:rPr>
            </w:r>
          </w:p>
        </w:tc>
      </w:tr>
    </w:tbl>
    <w:p>
      <w:r>
        <w:rPr>
          <w:b/>
          <w:sz w:val="20"/>
        </w:rPr>
        <w:t xml:space="preserve">Table 3  </w:t>
      </w:r>
      <w:r>
        <w:rPr>
          <w:sz w:val="20"/>
        </w:rPr>
        <w:t>Multivariate logistic regression results (7-country reclassification, disrupted → overtaken). * p &lt; 0.05, † p &lt; 0.10.</w:t>
      </w:r>
    </w:p>
    <w:p>
      <w:pPr>
        <w:pStyle w:val="Heading1"/>
      </w:pPr>
      <w:r>
        <w:t>6  Discussion</w:t>
      </w:r>
    </w:p>
    <w:p>
      <w:pPr>
        <w:pStyle w:val="Heading2"/>
      </w:pPr>
      <w:r>
        <w:t>6.1  The mechanism: technology flow disruption and cumulative divergence</w:t>
      </w:r>
    </w:p>
    <w:p>
      <w:r>
        <w:t>The central finding is that the closure–conquest association becomes significant only when technically excluded polities are grouped with deliberately closed ones. This tells us something important about the mechanism at work. If closure harmed states solely through lost trade revenue or reduced diplomatic leverage, then only deliberate closure—which blocks trade but not necessarily knowledge—should matter. The fact that technical exclusion (which severs both trade and technology flow) strengthens the association, while policy-based closure alone does not reach significance, points toward technology flow as the critical channel.</w:t>
      </w:r>
    </w:p>
    <w:p>
      <w:r>
        <w:t>The dose–response pattern in Figure 3 reinforces this interpretation. Technical exclusion (zero technology transfer) produces a 100% conquest rate. Policy-based maritime bans, which restrict but do not eliminate technology flow, show conquest rates below 80%. The case of Tokugawa Japan is particularly instructive: despite the comprehensive closure of sakoku, the Tokugawa regime deliberately maintained a narrow conduit for Western scientific and technical knowledge (rangaku) through the Dutch trading post at Dejima. This selective preservation of a technology transfer channel—even within an otherwise closed system—appears to have made a material difference. Japan was disrupted by the forced opening of 1853–54 but was not conquered; it reconstituted itself as the Meiji state and rapidly closed the technology gap. Bloc closures, which preserve substantial within-bloc technology sharing, show the lowest rates among closure categories. The ordering of conquest risk mirrors the ordering of technology flow disruption.</w:t>
      </w:r>
    </w:p>
    <w:p>
      <w:r>
        <w:t>The multivariate results complete the picture. External threat and institutional quality are the strongest predictors of conquest, and the maritime closure indicator loses significance after their inclusion (Table 3, Fig. 4). This is precisely what a technology-gap mechanism would predict: closure does not kill states directly. Rather, it initiates a causal chain—technological stagnation erodes institutional adaptive capacity, which in turn leaves the polity unable to respond to external threats. The mediating variables (external threat, institutional quality) absorb the explanatory power of the closure variable because they lie downstream in the causal pathway.</w:t>
      </w:r>
    </w:p>
    <w:p>
      <w:pPr>
        <w:pStyle w:val="Heading2"/>
      </w:pPr>
      <w:r>
        <w:t>6.2  First contact and the tragedy of civilizational divergence</w:t>
      </w:r>
    </w:p>
    <w:p>
      <w:r>
        <w:t>Our findings can be read as a quantitative formulation of a long-recognized historical pattern: when civilizations that have developed in isolation encounter a technologically superior civilization, the outcome is overwhelmingly unfavorable for the less advanced party (Diamond 1997; Diamond and Bellwood 2003). The 100% conquest rate among technically excluded polities is striking not because the pattern is new, but because it emerges from a systematic, cross-historical dataset rather than from selective case studies.</w:t>
      </w:r>
    </w:p>
    <w:p>
      <w:r>
        <w:t>The mechanism we propose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severed from them could not. Over generations, the technology gap widened. When contact eventually occurred—typically through military expansion by the more connected civilization—the accumulated gap proved decisive. The Han Dynasty encountered Central Asian and eventually Roman-linked military traditions; the Khmer Empire faced the expanding Siamese and Vietnamese states that were integrated into maritime trade networks; Kievan Rus' was overrun by the Mongol armies that had absorbed the military technologies of multiple civilizations across Eurasia.</w:t>
      </w:r>
    </w:p>
    <w:p>
      <w:r>
        <w:t>Crucially, the tragedy of first contact is a function of the gap, not of the contact itself. Policy-closed polities that maintained narrow conduits of technology transfer—Japan's rangaku, Qing China's limited Canton trade—accumulated smaller gaps and, correspondingly, were more likely to survive or reconstitute after disruption. The implication is that what determines the outcome of civilizational encounter is the degree and duration of technology flow disruption that preceded it.</w:t>
      </w:r>
    </w:p>
    <w:p>
      <w:r>
        <w:t>This finding has a corollary that is worth stating explicitly. If the critical variable is not closure itself but the residual technology flow that closure permits, then polities that close their borders while deliberately maintaining selective channels for frontier knowledge occupy a qualitatively different position from those that are totally severed. Our dataset contains several instances of such conditional closure. Tokugawa Japan preserved access to Western science through rangaku at Dejima and was disrupted but not conquered, reconstituting itself as the Meiji state. Early Qing China maintained the Canton system—a single, tightly controlled port of trade through which some foreign knowledge filtered—and survived the Kangxi–Qianlong era intact. Joseon Korea sustained tributary trade with China, which served as a conduit for Continental knowledge and technology. The Soviet Union, while sealed from the Western bloc, maintained extensive technology sharing within the Eastern bloc and invested heavily in indigenous research institutions. North Korea has preserved a limited technology channel through its relationship with China. (Full details of each polity's closure regime, technology channels, and outcomes are recorded in Supplementary Table S1.)</w:t>
      </w:r>
    </w:p>
    <w:p>
      <w:r>
        <w:t>The outcomes, however, are mixed. Early Qing China survived, but late Qing China—operating under the same Canton system—was semi-colonized after the Opium Wars. Tokugawa Japan survived as a political entity, but Joseon Korea, despite its Chinese conduit, was annexed by Japan in 1910. The Soviet Union collapsed internally despite its bloc-level technology sharing, while North Korea has persisted under extreme isolation with minimal Chinese patronage. These divergent outcomes suggest that the mere existence of a selective channel does not guarantee survival; unmeasured factors—the breadth and relevance of the knowledge flowing through the channel, the domestic capacity to absorb and adapt that knowledge, the pace of change at the technological frontier, and institutional dynamics that our dataset does not capture—likely condition the effectiveness of conditional closure. The policy question, then, is not binary (open or closed) but conditional, and the conditions under which selective channels suffice to prevent a fatal technology gap remain an open and consequential problem for future research. Readers interested in tracing these cases in detail are referred to Supplementary Table S1, which documents the specific turning-point events and outcomes for all 96 polities in the dataset.</w:t>
      </w:r>
    </w:p>
    <w:p>
      <w:pPr>
        <w:pStyle w:val="Heading2"/>
      </w:pPr>
      <w:r>
        <w:t>6.3  Beyond maritime isolation: technological access exclusion in the modern era</w:t>
      </w:r>
    </w:p>
    <w:p>
      <w:r>
        <w:t>If the mechanism we identify is technology flow disruption rather than maritime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Geographic isolation no longer blocks physical trade—the completion of global shipping and communication networks has largely eliminated technical network exclusion in its maritime form as a threat. But a new form of structural exclusion has emerged: states may be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The historical parallel is direct. Just as the Khmer Empire or the Timurid dynasty could not access the maritime networks that carried military and institutional innovations, a contemporary state excluded from advanced semiconductor fabrication or AI model development may find itself on the wrong side of a widening technology gap. If the gap grows large enough, the eventual 'first contact'—whether military, economic, or geopolitical—may produce outcomes analogous to those documented in our historical dataset. The form of the dominant network changes; the logic of cumulative divergence through exclusion does not.</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Nevertheless, the historical regularity we document—that structural exclusion from the dominant technological network is associated with state collapse—provides a framework for thinking about which dimensions of modern technological access may be most consequential.</w:t>
      </w:r>
    </w:p>
    <w:p>
      <w:pPr>
        <w:pStyle w:val="Heading2"/>
      </w:pPr>
      <w:r>
        <w:t>6.4  Robustness of the stock–flow framework and the question of resource-base transitions</w:t>
      </w:r>
    </w:p>
    <w:p>
      <w:r>
        <w:t>The invariance of the stock–flow OR (1.774) across all reclassification scenarios confirms that the core finding of the stock–flow framework—that stock-oriented polities face moderately higher conquest risk—is independent of how maritime isolation is defined. The reclassification changes the closure subanalysis but leaves the primary classification untouched. This separation is analytically useful: it shows that the stock–flow distinction and the closure–conquest association capture related but distinct dimensions of state vulnerability.</w:t>
      </w:r>
    </w:p>
    <w:p>
      <w:r>
        <w:t>Crossing these two dimensions yields a four-cell classification whose conquest rates are reported in Table 4. Flow-oriented polities without closure show the lowest conquest rate (57.4%, n = 47). Stock-oriented polities without closure show a moderately elevated rate (66.7%, n = 27). Stock-oriented polities with closure show a markedly higher rate (83.3%, n = 18). Flow-oriented polities with closure—a small cell (n = 4)—show a 100.0% conquest rate. The contrast between the highest- and lowest-risk cells (stock + closed vs. flow + open) yields an odds ratio of 3.70 (one-sided Fisher exact p = 0.045). Within stock-oriented polities, the effect of closure corresponds to an OR of 2.50 (p = 0.187). Within flow-oriented polities, the effect of closure yields an OR of ∞ (p = 0.126), though the cell size (n = 4) precludes reliable inference.</w:t>
      </w:r>
    </w:p>
    <w:p/>
    <w:p>
      <w:pPr>
        <w:jc w:val="center"/>
      </w:pPr>
      <w:r>
        <w:rPr>
          <w:b/>
          <w:sz w:val="20"/>
        </w:rPr>
        <w:t>Table 4  Conquest rates by resource-base orientation and closure status (7-country reclassification, disrupted = conquered)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r>
          </w:p>
        </w:tc>
        <w:tc>
          <w:tcPr>
            <w:tcW w:type="dxa" w:w="1881"/>
          </w:tcPr>
          <w:p>
            <w:pPr>
              <w:jc w:val="center"/>
            </w:pPr>
            <w:r>
              <w:rPr>
                <w:b/>
                <w:sz w:val="20"/>
              </w:rPr>
              <w:t>Conquered</w:t>
            </w:r>
          </w:p>
        </w:tc>
        <w:tc>
          <w:tcPr>
            <w:tcW w:type="dxa" w:w="1881"/>
          </w:tcPr>
          <w:p>
            <w:pPr>
              <w:jc w:val="center"/>
            </w:pPr>
            <w:r>
              <w:rPr>
                <w:b/>
                <w:sz w:val="20"/>
              </w:rPr>
              <w:t>Survived</w:t>
            </w:r>
          </w:p>
        </w:tc>
        <w:tc>
          <w:tcPr>
            <w:tcW w:type="dxa" w:w="1881"/>
          </w:tcPr>
          <w:p>
            <w:pPr>
              <w:jc w:val="center"/>
            </w:pPr>
            <w:r>
              <w:rPr>
                <w:b/>
                <w:sz w:val="20"/>
              </w:rPr>
              <w:t>n</w:t>
            </w:r>
          </w:p>
        </w:tc>
        <w:tc>
          <w:tcPr>
            <w:tcW w:type="dxa" w:w="1881"/>
          </w:tcPr>
          <w:p>
            <w:pPr>
              <w:jc w:val="center"/>
            </w:pPr>
            <w:r>
              <w:rPr>
                <w:b/>
                <w:sz w:val="20"/>
              </w:rPr>
              <w:t>Rate</w:t>
            </w:r>
          </w:p>
        </w:tc>
      </w:tr>
      <w:tr>
        <w:tc>
          <w:tcPr>
            <w:tcW w:type="dxa" w:w="1881"/>
          </w:tcPr>
          <w:p>
            <w:pPr>
              <w:jc w:val="center"/>
            </w:pPr>
            <w:r>
              <w:rPr>
                <w:sz w:val="20"/>
              </w:rPr>
              <w:t>Stock + closed</w:t>
            </w:r>
          </w:p>
        </w:tc>
        <w:tc>
          <w:tcPr>
            <w:tcW w:type="dxa" w:w="1881"/>
          </w:tcPr>
          <w:p>
            <w:pPr>
              <w:jc w:val="center"/>
            </w:pPr>
            <w:r>
              <w:rPr>
                <w:sz w:val="20"/>
              </w:rPr>
              <w:t>15</w:t>
            </w:r>
          </w:p>
        </w:tc>
        <w:tc>
          <w:tcPr>
            <w:tcW w:type="dxa" w:w="1881"/>
          </w:tcPr>
          <w:p>
            <w:pPr>
              <w:jc w:val="center"/>
            </w:pPr>
            <w:r>
              <w:rPr>
                <w:sz w:val="20"/>
              </w:rPr>
              <w:t>3</w:t>
            </w:r>
          </w:p>
        </w:tc>
        <w:tc>
          <w:tcPr>
            <w:tcW w:type="dxa" w:w="1881"/>
          </w:tcPr>
          <w:p>
            <w:pPr>
              <w:jc w:val="center"/>
            </w:pPr>
            <w:r>
              <w:rPr>
                <w:sz w:val="20"/>
              </w:rPr>
              <w:t>18</w:t>
            </w:r>
          </w:p>
        </w:tc>
        <w:tc>
          <w:tcPr>
            <w:tcW w:type="dxa" w:w="1881"/>
          </w:tcPr>
          <w:p>
            <w:pPr>
              <w:jc w:val="center"/>
            </w:pPr>
            <w:r>
              <w:rPr>
                <w:sz w:val="20"/>
              </w:rPr>
              <w:t>83.3%</w:t>
            </w:r>
          </w:p>
        </w:tc>
      </w:tr>
      <w:tr>
        <w:tc>
          <w:tcPr>
            <w:tcW w:type="dxa" w:w="1881"/>
          </w:tcPr>
          <w:p>
            <w:pPr>
              <w:jc w:val="center"/>
            </w:pPr>
            <w:r>
              <w:rPr>
                <w:sz w:val="20"/>
              </w:rPr>
              <w:t>Stock + open</w:t>
            </w:r>
          </w:p>
        </w:tc>
        <w:tc>
          <w:tcPr>
            <w:tcW w:type="dxa" w:w="1881"/>
          </w:tcPr>
          <w:p>
            <w:pPr>
              <w:jc w:val="center"/>
            </w:pPr>
            <w:r>
              <w:rPr>
                <w:sz w:val="20"/>
              </w:rPr>
              <w:t>18</w:t>
            </w:r>
          </w:p>
        </w:tc>
        <w:tc>
          <w:tcPr>
            <w:tcW w:type="dxa" w:w="1881"/>
          </w:tcPr>
          <w:p>
            <w:pPr>
              <w:jc w:val="center"/>
            </w:pPr>
            <w:r>
              <w:rPr>
                <w:sz w:val="20"/>
              </w:rPr>
              <w:t>9</w:t>
            </w:r>
          </w:p>
        </w:tc>
        <w:tc>
          <w:tcPr>
            <w:tcW w:type="dxa" w:w="1881"/>
          </w:tcPr>
          <w:p>
            <w:pPr>
              <w:jc w:val="center"/>
            </w:pPr>
            <w:r>
              <w:rPr>
                <w:sz w:val="20"/>
              </w:rPr>
              <w:t>27</w:t>
            </w:r>
          </w:p>
        </w:tc>
        <w:tc>
          <w:tcPr>
            <w:tcW w:type="dxa" w:w="1881"/>
          </w:tcPr>
          <w:p>
            <w:pPr>
              <w:jc w:val="center"/>
            </w:pPr>
            <w:r>
              <w:rPr>
                <w:sz w:val="20"/>
              </w:rPr>
              <w:t>66.7%</w:t>
            </w:r>
          </w:p>
        </w:tc>
      </w:tr>
      <w:tr>
        <w:tc>
          <w:tcPr>
            <w:tcW w:type="dxa" w:w="1881"/>
          </w:tcPr>
          <w:p>
            <w:pPr>
              <w:jc w:val="center"/>
            </w:pPr>
            <w:r>
              <w:rPr>
                <w:sz w:val="20"/>
              </w:rPr>
              <w:t>Flow + closed</w:t>
            </w:r>
          </w:p>
        </w:tc>
        <w:tc>
          <w:tcPr>
            <w:tcW w:type="dxa" w:w="1881"/>
          </w:tcPr>
          <w:p>
            <w:pPr>
              <w:jc w:val="center"/>
            </w:pPr>
            <w:r>
              <w:rPr>
                <w:sz w:val="20"/>
              </w:rPr>
              <w:t>4</w:t>
            </w:r>
          </w:p>
        </w:tc>
        <w:tc>
          <w:tcPr>
            <w:tcW w:type="dxa" w:w="1881"/>
          </w:tcPr>
          <w:p>
            <w:pPr>
              <w:jc w:val="center"/>
            </w:pPr>
            <w:r>
              <w:rPr>
                <w:sz w:val="20"/>
              </w:rPr>
              <w:t>0</w:t>
            </w:r>
          </w:p>
        </w:tc>
        <w:tc>
          <w:tcPr>
            <w:tcW w:type="dxa" w:w="1881"/>
          </w:tcPr>
          <w:p>
            <w:pPr>
              <w:jc w:val="center"/>
            </w:pPr>
            <w:r>
              <w:rPr>
                <w:sz w:val="20"/>
              </w:rPr>
              <w:t>4</w:t>
            </w:r>
          </w:p>
        </w:tc>
        <w:tc>
          <w:tcPr>
            <w:tcW w:type="dxa" w:w="1881"/>
          </w:tcPr>
          <w:p>
            <w:pPr>
              <w:jc w:val="center"/>
            </w:pPr>
            <w:r>
              <w:rPr>
                <w:sz w:val="20"/>
              </w:rPr>
              <w:t>100.0%</w:t>
            </w:r>
          </w:p>
        </w:tc>
      </w:tr>
      <w:tr>
        <w:tc>
          <w:tcPr>
            <w:tcW w:type="dxa" w:w="1881"/>
          </w:tcPr>
          <w:p>
            <w:pPr>
              <w:jc w:val="center"/>
            </w:pPr>
            <w:r>
              <w:rPr>
                <w:sz w:val="20"/>
              </w:rPr>
              <w:t>Flow + open</w:t>
            </w:r>
          </w:p>
        </w:tc>
        <w:tc>
          <w:tcPr>
            <w:tcW w:type="dxa" w:w="1881"/>
          </w:tcPr>
          <w:p>
            <w:pPr>
              <w:jc w:val="center"/>
            </w:pPr>
            <w:r>
              <w:rPr>
                <w:sz w:val="20"/>
              </w:rPr>
              <w:t>27</w:t>
            </w:r>
          </w:p>
        </w:tc>
        <w:tc>
          <w:tcPr>
            <w:tcW w:type="dxa" w:w="1881"/>
          </w:tcPr>
          <w:p>
            <w:pPr>
              <w:jc w:val="center"/>
            </w:pPr>
            <w:r>
              <w:rPr>
                <w:sz w:val="20"/>
              </w:rPr>
              <w:t>20</w:t>
            </w:r>
          </w:p>
        </w:tc>
        <w:tc>
          <w:tcPr>
            <w:tcW w:type="dxa" w:w="1881"/>
          </w:tcPr>
          <w:p>
            <w:pPr>
              <w:jc w:val="center"/>
            </w:pPr>
            <w:r>
              <w:rPr>
                <w:sz w:val="20"/>
              </w:rPr>
              <w:t>47</w:t>
            </w:r>
          </w:p>
        </w:tc>
        <w:tc>
          <w:tcPr>
            <w:tcW w:type="dxa" w:w="1881"/>
          </w:tcPr>
          <w:p>
            <w:pPr>
              <w:jc w:val="center"/>
            </w:pPr>
            <w:r>
              <w:rPr>
                <w:sz w:val="20"/>
              </w:rPr>
              <w:t>57.4%</w:t>
            </w:r>
          </w:p>
        </w:tc>
      </w:tr>
    </w:tbl>
    <w:p>
      <w:r>
        <w:rPr>
          <w:i/>
          <w:sz w:val="18"/>
        </w:rPr>
        <w:t>Fisher exact tests (one-sided): stock + closed vs. flow + open, OR = 3.70, p = 0.045; within stock, closed vs. open, OR = 2.50, p = 0.187; within flow, closed vs. open, OR = ∞, p = 0.126.</w:t>
      </w:r>
    </w:p>
    <w:p>
      <w:r>
        <w:t>The pattern is consistent with the hypothesis that stock-orientation and network exclusion compound each other's risk, though the small cell sizes—particularly for flow + closed (n = 4)—warrant caution. The stock + closed combination is the only cell to reach a statistically significant difference from the baseline flow + open cell at conventional levels. Notably, 3 stock-oriented polities with closure survived despite their high-risk classification; their individual characteristics—including specific closure regimes, technology channels maintained, and the historical circumstances of their survival—are documented in Supplementary Table S1.</w:t>
      </w:r>
    </w:p>
    <w:p>
      <w:r>
        <w:t>An implication worth noting is that the stock–flow distinction is not permanently fixed for any given state. Polities can transition from flow-oriented to stock-oriented resource bases—or vice versa—as economic structures, demographic conditions, and institutional incentives evolve. A state that was historically flow-oriented (trade-dependent, outward-looking, innovation-absorbing) but that gradually shifts toward reliance on accumulated domestic assets—physical capital, territorial resources, existing institutional infrastructure—moves into the higher-risk stock category. If such a transition coincides with reduced engagement in the dominant technological network of the era, the compounding of stock-orientation and network exclusion could amplify vulnerability. Our dataset cannot test this dynamic directly, as polities are coded at a single point in time, but the theoretical interaction between resource-base transition and network access merits further investigation.</w:t>
      </w:r>
    </w:p>
    <w:p>
      <w:pPr>
        <w:pStyle w:val="Heading2"/>
      </w:pPr>
      <w:r>
        <w:t>6.5  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Fifth, the forward-looking extension to modern technological exclusion is necessarily speculative, as the mechanisms operating in a nuclear-armed, institutionally dense modern world may differ qualitatively from those in premodern eras.</w:t>
      </w:r>
    </w:p>
    <w:p>
      <w:pPr>
        <w:pStyle w:val="Heading1"/>
      </w:pPr>
      <w:r>
        <w:t>7  Conclusion</w:t>
      </w:r>
    </w:p>
    <w:p>
      <w:r>
        <w:t>This paper has shown that reclassifying seven technically excluded polities—those severed from the maritime exchange networks of their era by geography and technology rather than by policy—transforms a non-significant association between closure and conquest into a significant one (p = 0.020), while the core stock–flow odds ratio remains unchanged (OR = 1.774). The 100% conquest rate among technically excluded polities, the dose–response gradient across closure types, and the absorption of the closure effect by external threat and institutional quality in multivariate models all point to a consistent mechanism: disruption of technology flow leads to cumulative divergence from the technological frontier, eroding the institutional and military capacity needed to survive contact with more connected civilizations.</w:t>
      </w:r>
    </w:p>
    <w:p>
      <w:r>
        <w:t>The broader implication is that this mechanism is not specific to maritime trade. In every era, there exists a dominant network through which frontier technologies diffuse. Polities excluded from that network—whether by oceans, mountains, policy, or, in the contemporary period, by semiconductor export controls and AI infrastructure concentration—risk falling into the same pattern of cumulative divergence. The historical record we document provides a quantitative baseline for assessing this risk. Whether the tragedy of first contact between unequally developed civilizations will find new expression in the age of artificial intelligence is a question that the coming decades will answer; our analysis suggests it is one worth asking. Equally pressing is the converse question suggested by the Tokugawa precedent: whether a state that recognizes the risk of network exclusion can, through deliberate maintenance of selective technology channels, prevent the accumulation of a fatal gap—even while restricting broader engagement with the outside world.</w:t>
      </w:r>
    </w:p>
    <w:p>
      <w:pPr>
        <w:pStyle w:val="Heading1"/>
      </w:pPr>
      <w:r>
        <w:t>References</w:t>
      </w:r>
    </w:p>
    <w:p>
      <w:pPr>
        <w:ind w:hanging="567" w:left="567"/>
      </w:pPr>
      <w:r>
        <w:rPr>
          <w:sz w:val="22"/>
        </w:rPr>
        <w:t>Acemoglu D, Johnson S, Robinson JA (2002) Reversal of fortune: geography and institutions in the making of the modern world income distribution. Q J Econ 117:1231–1294. https://doi.org/10.1162/003355302320935025</w:t>
      </w:r>
    </w:p>
    <w:p>
      <w:pPr>
        <w:ind w:hanging="567" w:left="567"/>
      </w:pPr>
      <w:r>
        <w:rPr>
          <w:sz w:val="22"/>
        </w:rPr>
        <w:t>Acemoglu D, Johnson S, Robinson JA (2005) Institutions as a fundamental cause of long-run growth. In: Aghion P, Durlauf SN (eds) Handbook of economic growth, vol 1A. Elsevier, Amsterdam, pp 385–472</w:t>
      </w:r>
    </w:p>
    <w:p>
      <w:pPr>
        <w:ind w:hanging="567" w:left="567"/>
      </w:pPr>
      <w:r>
        <w:rPr>
          <w:sz w:val="22"/>
        </w:rPr>
        <w:t>Acemoglu D, Restrepo P (2020) Robots and jobs: evidence from US labor markets. J Polit Econ 128:2188–2244. https://doi.org/10.1086/705716</w:t>
      </w:r>
    </w:p>
    <w:p>
      <w:pPr>
        <w:ind w:hanging="567" w:left="567"/>
      </w:pPr>
      <w:r>
        <w:rPr>
          <w:sz w:val="22"/>
        </w:rPr>
        <w:t>Arrighi G (1994) The long twentieth century: money, power, and the origins of our times. Verso, London</w:t>
      </w:r>
    </w:p>
    <w:p>
      <w:pPr>
        <w:ind w:hanging="567" w:left="567"/>
      </w:pPr>
      <w:r>
        <w:rPr>
          <w:sz w:val="22"/>
        </w:rPr>
        <w:t>Broadberry SN, Guan H (2026) Regional variation of GDP per head within China, 1080–1850. Explor Econ Hist 95:101567. https://doi.org/10.1016/j.eeh.2025.101567</w:t>
      </w:r>
    </w:p>
    <w:p>
      <w:pPr>
        <w:ind w:hanging="567" w:left="567"/>
      </w:pPr>
      <w:r>
        <w:rPr>
          <w:sz w:val="22"/>
        </w:rPr>
        <w:t>Comin D, Easterly W, Gong E (2010) Was the wealth of nations determined in 1000 BC? Am Econ J Macroecon 2:65–97. https://doi.org/10.1257/mac.2.3.65</w:t>
      </w:r>
    </w:p>
    <w:p>
      <w:pPr>
        <w:ind w:hanging="567" w:left="567"/>
      </w:pPr>
      <w:r>
        <w:rPr>
          <w:sz w:val="22"/>
        </w:rPr>
        <w:t>Comin D, Mestieri M (2018) If technology has arrived everywhere, why has income diverged? Am Econ J Macroecon 10:137–178. https://doi.org/10.1257/mac.20150175</w:t>
      </w:r>
    </w:p>
    <w:p>
      <w:pPr>
        <w:ind w:hanging="567" w:left="567"/>
      </w:pPr>
      <w:r>
        <w:rPr>
          <w:sz w:val="22"/>
        </w:rPr>
        <w:t>De Vries J (2010) The limits of globalization in the early modern world. Econ Hist Rev 63:710–733. https://doi.org/10.1111/j.1468-0289.2009.00497.x</w:t>
      </w:r>
    </w:p>
    <w:p>
      <w:pPr>
        <w:ind w:hanging="567" w:left="567"/>
      </w:pPr>
      <w:r>
        <w:rPr>
          <w:sz w:val="22"/>
        </w:rPr>
        <w:t>Diamond J (1997) Guns, germs, and steel: the fates of human societies. W.W. Norton, New York</w:t>
      </w:r>
    </w:p>
    <w:p>
      <w:pPr>
        <w:ind w:hanging="567" w:left="567"/>
      </w:pPr>
      <w:r>
        <w:rPr>
          <w:sz w:val="22"/>
        </w:rPr>
        <w:t>Diamond J, Bellwood P (2003) Farmers and their languages: the first expansions. Science 300:597–603. https://doi.org/10.1126/science.1078208</w:t>
      </w:r>
    </w:p>
    <w:p>
      <w:pPr>
        <w:ind w:hanging="567" w:left="567"/>
      </w:pPr>
      <w:r>
        <w:rPr>
          <w:sz w:val="22"/>
        </w:rPr>
        <w:t>Findlay R, O'Rourke KH (2007) Power and plenty: trade, war, and the world economy in the second millennium. Princeton University Press, Princeton</w:t>
      </w:r>
    </w:p>
    <w:p>
      <w:pPr>
        <w:ind w:hanging="567" w:left="567"/>
      </w:pPr>
      <w:r>
        <w:rPr>
          <w:sz w:val="22"/>
        </w:rPr>
        <w:t>Kennedy P (1987) The rise and fall of the great powers: economic change and military conflict from 1500 to 2000. Random House, New York</w:t>
      </w:r>
    </w:p>
    <w:p>
      <w:pPr>
        <w:ind w:hanging="567" w:left="567"/>
      </w:pPr>
      <w:r>
        <w:rPr>
          <w:sz w:val="22"/>
        </w:rPr>
        <w:t>Maddison A (2007) Contours of the world economy 1–2030 AD: essays in macro-economic history. Oxford University Press, Oxford</w:t>
      </w:r>
    </w:p>
    <w:p>
      <w:pPr>
        <w:ind w:hanging="567" w:left="567"/>
      </w:pPr>
      <w:r>
        <w:rPr>
          <w:sz w:val="22"/>
        </w:rPr>
        <w:t>Mokyr J (2002) The gifts of Athena: historical origins of the knowledge economy. Princeton University Press, Princeton</w:t>
      </w:r>
    </w:p>
    <w:p>
      <w:pPr>
        <w:ind w:hanging="567" w:left="567"/>
      </w:pPr>
      <w:r>
        <w:rPr>
          <w:sz w:val="22"/>
        </w:rPr>
        <w:t>North DC, Wallis JJ, Weingast BR (2009) Violence and social orders: a conceptual framework for interpreting recorded human history. Cambridge University Press, Cambridge</w:t>
      </w:r>
    </w:p>
    <w:p>
      <w:pPr>
        <w:ind w:hanging="567" w:left="567"/>
      </w:pPr>
      <w:r>
        <w:rPr>
          <w:sz w:val="22"/>
        </w:rPr>
        <w:t>Pomeranz K (2000) The great divergence: China, Europe, and the making of the modern world economy. Princeton University Press, Princeton</w:t>
      </w:r>
    </w:p>
    <w:p>
      <w:pPr>
        <w:ind w:hanging="567" w:left="567"/>
      </w:pPr>
      <w:r>
        <w:rPr>
          <w:sz w:val="22"/>
        </w:rPr>
        <w:t>Turchin P (2009) A theory for formation of large empires. J Glob Hist 4:191–217. https://doi.org/10.1017/S1740022809003192</w:t>
      </w:r>
    </w:p>
    <w:p>
      <w:pPr>
        <w:pStyle w:val="Heading1"/>
      </w:pPr>
      <w:r>
        <w:t>Statements and Declarations</w:t>
      </w:r>
    </w:p>
    <w:p>
      <w:pPr>
        <w:pStyle w:val="Heading2"/>
      </w:pPr>
      <w:r>
        <w:t>Funding</w:t>
      </w:r>
    </w:p>
    <w:p>
      <w:r>
        <w:t>[To be completed by author]</w:t>
      </w:r>
    </w:p>
    <w:p>
      <w:pPr>
        <w:pStyle w:val="Heading2"/>
      </w:pPr>
      <w:r>
        <w:t>Competing Interests</w:t>
      </w:r>
    </w:p>
    <w:p>
      <w:r>
        <w:t>The author declares no competing interests.</w:t>
      </w:r>
    </w:p>
    <w:p>
      <w:pPr>
        <w:pStyle w:val="Heading2"/>
      </w:pPr>
      <w:r>
        <w:t>Data Availability</w:t>
      </w:r>
    </w:p>
    <w:p>
      <w:r>
        <w:t>The complete dataset and analysis code are available at [repository URL]. Supplementary Table S1 provides the full dataset of 96 polities with all coded variables.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