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The Editor-in-Chief</w:t>
      </w:r>
    </w:p>
    <w:p>
      <w:r>
        <w:rPr>
          <w:rFonts w:ascii="Times New Roman" w:hAnsi="Times New Roman"/>
          <w:sz w:val="24"/>
        </w:rPr>
        <w:t>Health Policy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full-length article, "Litigation risk and specialty-level physician workforce in Japan, 2008–2024: a rate-based analysis with equivalence testing", for consideration by Health Policy.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Japan is a high-income country outside the United States with a rapidly ageing population and a widely debated maldistribution of physicians across specialties. Using national primary data for 12 clinical specialties, we test whether malpractice-litigation risk is associated with subsequent decline in the physician workforce and in hospitals offering each specialty.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Crucially, we express exposure as a rate (closed claims per 1,000 physicians) to remove specialty-size confounding, analyse only measured biennial physician observations rather than interpolated annual values, and apply equivalence (TOST) testing. We find no association between litigation risk and workforce or hospital change; the effect is statistically equivalent to a null within a small, pre-specified margin. The common intuition that physicians avoid high-litigation specialties is not supported. We show that count-based associations can arise from size confounding and from treating interpolated years as independent observations, and we discuss how structural incentives—notably no-fault obstetric compensation (JOCS-CP)—may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and every reported number is reproducible from the raw primary files in the accompanying repository.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