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Supplementary material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1. Closed malpractice claims per 1,000 physicians by specialty, 2008–2024 (rates, not counts).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Supplementary_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2. Physician workforce by specialty, indexed to 2008 (=100).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Supplementary_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1. Primary data sources and their resolution.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Series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Resolution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Role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Physicians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Statistics of Physicians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Biennial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2004–2024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Denominator &amp; 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Closed malpractice claims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Supreme Court,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Exposure (numerator)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Hospitals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of Medical Institutions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Clinics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(static)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Every 3 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Descriptive only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JMSR report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JMSR / MAIS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2015–2024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(2016-2024)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Newspaper article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Nikkei Telecom 21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2008–2018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(2009-2019)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2. Equivalence (TOST) results (effect per +1 SD litigation rate).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 per SD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90% CI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Margin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TOST 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Equivalent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3. JMSR-adjusted annual hospital growth model (2016-2024) with both exposures entered simultaneously.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JMSR report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4. Media-adjusted annual hospital growth model (2009-2019) with a linear time trend; full year fixed effects are omitted because the national article-count series is collinear with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media count (per 1,000 articles)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-0.0014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