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Times New Roman" w:hAnsi="Times New Roman"/>
          <w:b/>
          <w:sz w:val="30"/>
        </w:rPr>
        <w:t>Litigation risk and specialty-level physician workforce in Japan, 2008–2024: a rate-based analysis with equivalence testing</w:t>
      </w:r>
    </w:p>
    <w:p>
      <w:pPr>
        <w:jc w:val="center"/>
      </w:pPr>
      <w:r>
        <w:rPr>
          <w:rFonts w:ascii="Times New Roman" w:hAnsi="Times New Roman"/>
          <w:sz w:val="24"/>
        </w:rPr>
        <w:t>Authors: Onishi Tatsuki</w:t>
      </w:r>
    </w:p>
    <w:p>
      <w:pPr>
        <w:jc w:val="center"/>
      </w:pPr>
      <w:r>
        <w:rPr>
          <w:rFonts w:ascii="Times New Roman" w:hAnsi="Times New Roman"/>
          <w:sz w:val="24"/>
        </w:rPr>
        <w:t>Affiliation: Data Science AI Innovation Research Promotion Center, Shiga University, 1-1-1 Bamba, Hikone, Shiga 522-8522, Japan</w:t>
      </w:r>
    </w:p>
    <w:p>
      <w:pPr>
        <w:jc w:val="center"/>
      </w:pPr>
      <w:r>
        <w:rPr>
          <w:rFonts w:ascii="Times New Roman" w:hAnsi="Times New Roman"/>
          <w:sz w:val="24"/>
        </w:rPr>
        <w:t>Corresponding author: Onishi Tatsuki (email: [corresponding author email])</w:t>
      </w:r>
    </w:p>
    <w:p>
      <w:pPr>
        <w:jc w:val="center"/>
      </w:pPr>
      <w:r>
        <w:rPr>
          <w:rFonts w:ascii="Times New Roman" w:hAnsi="Times New Roman"/>
          <w:sz w:val="24"/>
        </w:rPr>
        <w:t>Word count (main text): approximately 2912 words (excluding abstract, references, declarations, tables and figure legends)</w:t>
      </w:r>
    </w:p>
    <w:p>
      <w:pPr>
        <w:jc w:val="center"/>
      </w:pPr>
      <w:r>
        <w:rPr>
          <w:rFonts w:ascii="Times New Roman" w:hAnsi="Times New Roman"/>
          <w:sz w:val="24"/>
        </w:rPr>
        <w:t>Article type: Full-length article</w:t>
      </w:r>
    </w:p>
    <w:p>
      <w:pPr>
        <w:jc w:val="center"/>
      </w:pPr>
      <w:r>
        <w:rPr>
          <w:rFonts w:ascii="Times New Roman" w:hAnsi="Times New Roman"/>
          <w:sz w:val="24"/>
        </w:rPr>
        <w:t>Tables: 2  Figures: 2  Supplementary tables: 2  Supplementary figures: 2</w:t>
      </w:r>
    </w:p>
    <w:p>
      <w:pPr>
        <w:jc w:val="center"/>
      </w:pPr>
      <w:r>
        <w:rPr>
          <w:rFonts w:ascii="Times New Roman" w:hAnsi="Times New Roman"/>
          <w:sz w:val="24"/>
        </w:rPr>
        <w:t>Conflicts of interest: none declared</w:t>
      </w:r>
    </w:p>
    <w:p>
      <w:pPr>
        <w:jc w:val="center"/>
      </w:pPr>
      <w:r>
        <w:rPr>
          <w:rFonts w:ascii="Times New Roman" w:hAnsi="Times New Roman"/>
          <w:sz w:val="24"/>
        </w:rPr>
        <w:t>Funding: none</w:t>
      </w:r>
    </w:p>
    <w:p>
      <w:pPr>
        <w:jc w:val="center"/>
      </w:pPr>
      <w:r>
        <w:rPr>
          <w:rFonts w:ascii="Times New Roman" w:hAnsi="Times New Roman"/>
          <w:sz w:val="24"/>
        </w:rPr>
        <w:t>Data availability: all primary data and analysis code are openly available in the project repository.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