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8,500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national population projection systems, and population policy designs. A bibliometric analysis of PubMed shows that while publications on ‘delayed childbearing’ grew fourfold since 1998, formal analysis of the ‘tempo effect’ on population size has essentially disappeared from the health and policy literature. We provide the first systematic cross-national quantification of the tempo effect on simultaneously living population (SLP). Using a parsimonious endogenous renewal model—coupling normal-distributed age-specific fertility with Gompertz survival—we analyse 40 countries (38 Organisation for Economic Co-operation and Development [OECD] members, China, the Democratic Republic of the Congo) over 1970–2023. We compare five model variants: a fixed-parameter model (1970 values throughout), a tempo-invariant model (fertility level and survival updated decadally but mean age at childbearing [MAC] held fixed), a tempo-responsive model (all parameters updated), a tempo-adjusted model using Bongaarts–Feeney tempo-adjusted total fertility rate (TFR*), and observed population trajectories from United Nations World Population Prospects 2024. The tempo-invariant and tempo-responsive models yield nearly identical fit (median absolute percentage error [MAPE] 4.5% versus 4.6%), revealing that the standard period TFR absorbs most tempo distortion, rendering the tempo channel invisible to conventional projection frameworks. Only when tempo is explicitly decomposed via TFR* does the best overall fit emerge (median MAPE 4.3%), with the largest improvements in countries with strong postponement (Republic of Korea, China, Colombia). Counterfactual decomposition of population change into quantum, tempo, and survival components reveals that the observed 4–6 year rise in MAC across OECD countries independently reduced SLP by 8–17%, equivalent to 15–40 years of below-replacement fertility. Higher MAC also accelerates the annual pace of population decline, compressing the time available for institutional adaptation. None of the 15 national projection systems we reviewed explicitly decomposes this tempo channel. Population policy currently operates on two levers—boosting births (quantum) and extending lives (survival)—while ignoring the third: the timing of births. Our findings establish that tempo-sensitive interventions deserve a place alongside pronatalist and health policies as tools for managing demographic change.</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Organisation for Economic Co-operation and Development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the period total fertility rate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after="80"/>
      </w:pPr>
      <w:r>
        <w:rPr>
          <w:b/>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pace implication—that tempo affects not only the level but the rate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five contributions. First, we demonstrate that the standard period total fertility rate (TFR) absorbs most tempo distortion, rendering the tempo channel invisible: a tempo-invariant model (MAC fixed) and a tempo-responsive model (MAC updated) yield nearly identical fit (median absolute percentage error [MAPE] 4.5% versus 4.6%), because TFR itself already reflects postponement. Second, we show that explicit tempo decomposition via the Bongaarts–Feeney tempo-adjusted TFR (TFR*)</w:t>
      </w:r>
      <w:r>
        <w:rPr>
          <w:b w:val="0"/>
          <w:i w:val="0"/>
          <w:sz w:val="24"/>
          <w:vertAlign w:val="superscript"/>
        </w:rPr>
        <w:t>3</w:t>
      </w:r>
      <w:r>
        <w:rPr>
          <w:b w:val="0"/>
          <w:i w:val="0"/>
          <w:sz w:val="24"/>
        </w:rPr>
        <w:t xml:space="preserve"> restores visibility: the tempo-adjusted model achieves the best overall fit (median MAPE 4.3%), with the largest gains in countries with strong postponement—Republic of Korea (11.9% → 6.9%), China (15.6% → 8.6%), Colombia (13.1% → 7.8%). Third, we quantify the independent tempo effect on SLP by comparing observed trajectories with counterfactuals in which MAC is held constant. Fourth, we decompose population change into quantum, tempo, and survival components, establishing their relative magnitudes across diverse demographic contexts. Fifth,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simulation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ASFR denotes the age-specific fertility rate and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 (UN WPP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w:t>
      </w:r>
      <w:r>
        <w:rPr>
          <w:b w:val="0"/>
          <w:i w:val="0"/>
          <w:sz w:val="24"/>
          <w:vertAlign w:val="superscript"/>
        </w:rPr>
        <w:t>12</w:t>
      </w:r>
      <w:r>
        <w:rPr>
          <w:b w:val="0"/>
          <w:i w:val="0"/>
          <w:sz w:val="24"/>
        </w:rPr>
      </w:r>
    </w:p>
    <w:p>
      <w:pPr>
        <w:pStyle w:val="Heading2"/>
      </w:pPr>
      <w:r>
        <w:rPr>
          <w:color w:val="000000"/>
        </w:rPr>
        <w:t>3.3 Model variants and counterfactuals</w:t>
      </w:r>
    </w:p>
    <w:p>
      <w:pPr>
        <w:spacing w:after="160"/>
      </w:pPr>
      <w:r>
        <w:rPr>
          <w:b w:val="0"/>
          <w:i w:val="0"/>
          <w:sz w:val="24"/>
        </w:rPr>
        <w:t>We implement four model variants, plus the observed population, yielding a five-way comparison framework:</w:t>
      </w:r>
    </w:p>
    <w:p>
      <w:pPr>
        <w:spacing w:after="160"/>
      </w:pPr>
      <w:r>
        <w:rPr>
          <w:b w:val="0"/>
          <w:i w:val="0"/>
          <w:sz w:val="24"/>
        </w:rPr>
        <w:t>Tempo-responsive model: All four parameters (TFR, e₀, MAC, σ) are updated every 10 years using observed UN values (e.g., 1970 parameters for 1970–1979, 1980 for 1980–1989, etc.), running from 1970 to 2023 for all 40 countries.</w:t>
      </w:r>
    </w:p>
    <w:p>
      <w:pPr>
        <w:spacing w:after="160"/>
      </w:pPr>
      <w:r>
        <w:rPr>
          <w:b w:val="0"/>
          <w:i w:val="0"/>
          <w:sz w:val="24"/>
        </w:rPr>
        <w:t>Tempo-invariant model: TFR, e₀, and σ are updated every 10 years as above, but MAC is held fixed at its 1970 value throughout. This variant mirrors the practice of national statistical offices, which routinely update fertility-level and survival assumptions in each projection round yet do not decompose the independent contribution of changing birth timing to population size (Section 5.1).</w:t>
      </w:r>
    </w:p>
    <w:p>
      <w:pPr>
        <w:spacing w:after="160"/>
      </w:pPr>
      <w:r>
        <w:rPr>
          <w:b w:val="0"/>
          <w:i w:val="0"/>
          <w:sz w:val="24"/>
        </w:rPr>
        <w:t>Tempo-adjusted model (TFR*): All parameters are updated decadally as in the tempo-responsive model, but the fertility input is replaced with the Bongaarts–Feeney tempo-adjusted TFR.</w:t>
      </w:r>
      <w:r>
        <w:rPr>
          <w:b w:val="0"/>
          <w:i w:val="0"/>
          <w:sz w:val="24"/>
          <w:vertAlign w:val="superscript"/>
        </w:rPr>
        <w:t>3</w:t>
      </w:r>
      <w:r>
        <w:rPr>
          <w:b w:val="0"/>
          <w:i w:val="0"/>
          <w:sz w:val="24"/>
        </w:rPr>
        <w:t xml:space="preserve"> The adjustment removes the mechanical depression of period TFR caused by rising MAC: TFR* = TFR / (1 − dMAC/dt), where dMAC/dt is estimated from centred differences over the surrounding years and clipped to [−0.5, 0.5] to prevent extreme values. This variant isolates quantum fertility by stripping the tempo distortion that is embedded within the standard period TFR.</w:t>
      </w:r>
    </w:p>
    <w:p>
      <w:pPr>
        <w:spacing w:after="160"/>
      </w:pPr>
      <w:r>
        <w:rPr>
          <w:b w:val="0"/>
          <w:i w:val="0"/>
          <w:sz w:val="24"/>
        </w:rPr>
        <w:t>Fixed-parameter model: All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tempo-responsive model with one parameter held at its 1970 value while others evolve as observed: (i) MAC frozen at 1970 level (tempo counterfactual—equivalent to the tempo-invariant variant);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Why tempo is invisible in standard projections—and how to reveal it</w:t>
      </w:r>
    </w:p>
    <w:p>
      <w:pPr>
        <w:spacing w:after="240"/>
      </w:pPr>
      <w:r>
        <w:rPr>
          <w:b w:val="0"/>
          <w:i w:val="0"/>
          <w:sz w:val="24"/>
        </w:rPr>
        <w:t>National statistical offices routinely update their population projections, revising fertility-level and survival assumptions in each round. Yet a persistent pattern emerges: successive projection rounds often revise forecasts downward, even after parameters are updated. Japan’s National Institute of Population and Social Security Research (IPSS), for example, has lowered its long-term population forecast in virtually every round since the 1990s, despite incorporating updated TFR and life expectancy data. We hypothesise that this serial downward revision partly reflects the accumulating tempo effect—an independent population-reducing force that standard projection updates do not decompose.</w:t>
      </w:r>
    </w:p>
    <w:p>
      <w:pPr>
        <w:spacing w:after="120"/>
      </w:pPr>
      <w:r>
        <w:rPr>
          <w:b w:val="0"/>
          <w:i w:val="0"/>
          <w:sz w:val="24"/>
        </w:rPr>
        <w:t>To test this hypothesis, we compare four model variants against observed population trajectories (Table 2). The fixed-parameter model holds all parameters constant—analogous to a single projection that is never revised. The tempo-invariant model updates TFR and e₀ every 10 years but keeps MAC fixed—analogous to projection systems that revise fertility levels and mortality without separating the tempo channel. The tempo-responsive model updates all parameters including MAC. The tempo-adjusted model replaces period TFR with the Bongaarts–Feeney TFR*, explicitly stripping tempo distortion from the fertility input.</w:t>
      </w:r>
    </w:p>
    <w:p>
      <w:pPr>
        <w:spacing w:after="80"/>
      </w:pPr>
      <w:r>
        <w:rPr>
          <w:b/>
          <w:i w:val="0"/>
          <w:sz w:val="22"/>
        </w:rPr>
        <w:t>Table 2: Model performance across 40 countries — five-model comparison</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Fixed-parameter (1970)</w:t>
            </w:r>
          </w:p>
        </w:tc>
        <w:tc>
          <w:tcPr>
            <w:tcW w:type="dxa" w:w="1560"/>
          </w:tcPr>
          <w:p>
            <w:r>
              <w:t>53</w:t>
            </w:r>
          </w:p>
        </w:tc>
        <w:tc>
          <w:tcPr>
            <w:tcW w:type="dxa" w:w="1560"/>
          </w:tcPr>
          <w:p>
            <w:r>
              <w:t>40</w:t>
            </w:r>
          </w:p>
        </w:tc>
        <w:tc>
          <w:tcPr>
            <w:tcW w:type="dxa" w:w="1560"/>
          </w:tcPr>
          <w:p>
            <w:r>
              <w:t>13.7</w:t>
            </w:r>
          </w:p>
        </w:tc>
        <w:tc>
          <w:tcPr>
            <w:tcW w:type="dxa" w:w="1560"/>
          </w:tcPr>
          <w:p>
            <w:r>
              <w:t>7.7</w:t>
            </w:r>
          </w:p>
        </w:tc>
        <w:tc>
          <w:tcPr>
            <w:tcW w:type="dxa" w:w="1560"/>
          </w:tcPr>
          <w:p>
            <w:r>
              <w:t>1.309 ± 0.554</w:t>
            </w:r>
          </w:p>
        </w:tc>
      </w:tr>
      <w:tr>
        <w:tc>
          <w:tcPr>
            <w:tcW w:type="dxa" w:w="1560"/>
          </w:tcPr>
          <w:p>
            <w:r>
              <w:t>Fixed-parameter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Fixed-parameter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Fixed-parameter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Tempo-invariant (10-yr)</w:t>
            </w:r>
          </w:p>
        </w:tc>
        <w:tc>
          <w:tcPr>
            <w:tcW w:type="dxa" w:w="1560"/>
          </w:tcPr>
          <w:p>
            <w:r>
              <w:t>53</w:t>
            </w:r>
          </w:p>
        </w:tc>
        <w:tc>
          <w:tcPr>
            <w:tcW w:type="dxa" w:w="1560"/>
          </w:tcPr>
          <w:p>
            <w:r>
              <w:t>40</w:t>
            </w:r>
          </w:p>
        </w:tc>
        <w:tc>
          <w:tcPr>
            <w:tcW w:type="dxa" w:w="1560"/>
          </w:tcPr>
          <w:p>
            <w:r>
              <w:t>6.5</w:t>
            </w:r>
          </w:p>
        </w:tc>
        <w:tc>
          <w:tcPr>
            <w:tcW w:type="dxa" w:w="1560"/>
          </w:tcPr>
          <w:p>
            <w:r>
              <w:t>4.5</w:t>
            </w:r>
          </w:p>
        </w:tc>
        <w:tc>
          <w:tcPr>
            <w:tcW w:type="dxa" w:w="1560"/>
          </w:tcPr>
          <w:p>
            <w:r>
              <w:t>0.991 ± 0.182</w:t>
            </w:r>
          </w:p>
        </w:tc>
      </w:tr>
      <w:tr>
        <w:tc>
          <w:tcPr>
            <w:tcW w:type="dxa" w:w="1560"/>
          </w:tcPr>
          <w:p>
            <w:r>
              <w:t>Tempo-responsive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r>
        <w:tc>
          <w:tcPr>
            <w:tcW w:type="dxa" w:w="1560"/>
          </w:tcPr>
          <w:p>
            <w:r>
              <w:t>Tempo-adjusted [TFR*] (10-yr)</w:t>
            </w:r>
          </w:p>
        </w:tc>
        <w:tc>
          <w:tcPr>
            <w:tcW w:type="dxa" w:w="1560"/>
          </w:tcPr>
          <w:p>
            <w:r>
              <w:t>53</w:t>
            </w:r>
          </w:p>
        </w:tc>
        <w:tc>
          <w:tcPr>
            <w:tcW w:type="dxa" w:w="1560"/>
          </w:tcPr>
          <w:p>
            <w:r>
              <w:t>40</w:t>
            </w:r>
          </w:p>
        </w:tc>
        <w:tc>
          <w:tcPr>
            <w:tcW w:type="dxa" w:w="1560"/>
          </w:tcPr>
          <w:p>
            <w:r>
              <w:t>5.8</w:t>
            </w:r>
          </w:p>
        </w:tc>
        <w:tc>
          <w:tcPr>
            <w:tcW w:type="dxa" w:w="1560"/>
          </w:tcPr>
          <w:p>
            <w:r>
              <w:t>4.3</w:t>
            </w:r>
          </w:p>
        </w:tc>
        <w:tc>
          <w:tcPr>
            <w:tcW w:type="dxa" w:w="1560"/>
          </w:tcPr>
          <w:p>
            <w:r>
              <w:t>1.014 ± 0.166</w:t>
            </w:r>
          </w:p>
        </w:tc>
      </w:tr>
    </w:tbl>
    <w:p>
      <w:pPr>
        <w:spacing w:after="80"/>
      </w:pPr>
      <w:r>
        <w:rPr>
          <w:b w:val="0"/>
          <w:i w:val="0"/>
          <w:sz w:val="12"/>
        </w:rPr>
      </w:r>
    </w:p>
    <w:p>
      <w:pPr>
        <w:spacing w:after="120"/>
      </w:pPr>
      <w:r>
        <w:rPr>
          <w:b w:val="0"/>
          <w:i/>
          <w:sz w:val="18"/>
        </w:rPr>
        <w:t>Note: All decadally-updated models run 1970–2023 with parameters refreshed every 10 years. TFR* = TFR / (1 − dMAC/dt) (Bongaarts and Feeney 1998). Final ratio = model population / observed population in 2023.</w:t>
      </w:r>
    </w:p>
    <w:p>
      <w:pPr>
        <w:spacing w:after="240"/>
      </w:pPr>
      <w:r>
        <w:rPr>
          <w:b w:val="0"/>
          <w:i w:val="0"/>
          <w:sz w:val="24"/>
        </w:rPr>
        <w:t>The most revealing finding is the near-identical performance of the tempo-invariant and tempo-responsive models (median MAPE 4.5% versus 4.6%). Both update parameters every 10 years—as national statistical offices do in periodic projection rounds—but differ in a single respect: whether MAC is allowed to evolve. That this difference is negligible is itself the key insight. The period TFR used by the tempo-invariant model already incorporates the mechanical depression caused by rising MAC: when women postpone childbearing, age-specific fertility rates decline at younger ages, depressing the period TFR even if completed cohort fertility remains unchanged.</w:t>
      </w:r>
      <w:r>
        <w:rPr>
          <w:b w:val="0"/>
          <w:i w:val="0"/>
          <w:sz w:val="24"/>
          <w:vertAlign w:val="superscript"/>
        </w:rPr>
        <w:t>3</w:t>
      </w:r>
      <w:r>
        <w:rPr>
          <w:b w:val="0"/>
          <w:i w:val="0"/>
          <w:sz w:val="24"/>
        </w:rPr>
        <w:t xml:space="preserve"> Consequently, the tempo effect is absorbed into the TFR input and becomes invisible to the projection framework. The model ‘works’ for the wrong reason—it captures the population-level consequence of postponement through a lower TFR, but attributes the entire decline to quantum rather than decomposing it into quantum and tempo.</w:t>
      </w:r>
    </w:p>
    <w:p>
      <w:pPr>
        <w:spacing w:after="240"/>
      </w:pPr>
      <w:r>
        <w:rPr>
          <w:b w:val="0"/>
          <w:i w:val="0"/>
          <w:sz w:val="24"/>
        </w:rPr>
        <w:t>This invisibility has a direct policy consequence: policymakers who observe a declining TFR respond with quantum interventions (pronatalist cash transfers, child allowances) because the period TFR does not distinguish between fewer births and delayed births. Yet a substantial portion of the observed TFR decline may reflect postponement—a timing shift that is amenable to different policy instruments.</w:t>
      </w:r>
    </w:p>
    <w:p>
      <w:pPr>
        <w:spacing w:after="240"/>
      </w:pPr>
      <w:r>
        <w:rPr>
          <w:b w:val="0"/>
          <w:i w:val="0"/>
          <w:sz w:val="24"/>
        </w:rPr>
        <w:t>The tempo-adjusted model (TFR*) breaks this invisibility. By replacing period TFR with TFR* = TFR / (1 − dMAC/dt), the Bongaarts–Feeney adjustment strips the tempo distortion from the fertility input, revealing quantum fertility. The tempo-adjusted model achieves the best overall fit (median MAPE 4.3%, mean 5.8%), improving on both the tempo-invariant and tempo-responsive variants. Crucially, the improvement is concentrated in countries where postponement was strongest: Republic of Korea (MAPE 11.9% → 6.9%), China (15.6% → 8.6%), Colombia (13.1% → 7.8%), Sweden (5.7% → 3.5%), Denmark (3.0% → 1.0%). In total, 26 of 40 countries show improved fit under TFR*. Where TFR* does not improve fit (e.g., France, Japan), the implication is that the period TFR decline was predominantly quantum—a substantively informative finding in itself.</w:t>
      </w:r>
    </w:p>
    <w:p>
      <w:pPr>
        <w:spacing w:after="120"/>
      </w:pPr>
      <w:r>
        <w:rPr>
          <w:b w:val="0"/>
          <w:i w:val="0"/>
          <w:sz w:val="24"/>
        </w:rPr>
        <w:t>Countries with MAPE exceeding 10% in the tempo-responsive model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All five variants are displayed: the near-overlap of tempo-invariant and tempo-responsive lines visually confirms the invisibility of tempo in standard TFR-based projections, while the tempo-adjusted trajectory diverges where postponement was strongest (Republic of Korea, China).</w:t>
      </w:r>
    </w:p>
    <w:p>
      <w:pPr>
        <w:spacing w:before="360" w:after="80"/>
      </w:pPr>
      <w:r>
        <w:rPr>
          <w:b/>
          <w:sz w:val="22"/>
        </w:rPr>
        <w:t>Figure 1: Five model variants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Observed = black solid (UN WPP 2024); Tempo-responsive = blue solid; Tempo-invariant = orange dashed; Tempo-adjusted (TFR*) = green dash-dot; Fixed-parameter (1970) = red dotted.</w:t>
      </w:r>
    </w:p>
    <w:p>
      <w:pPr>
        <w:spacing w:after="240"/>
      </w:pPr>
      <w:r>
        <w:rPr>
          <w:b w:val="0"/>
          <w:i w:val="0"/>
          <w:sz w:val="24"/>
        </w:rPr>
        <w:t>The validation confirms that the 4-parameter model captures the quantum–tempo–survival mechanism with sufficient fidelity to support counterfactual decomposition, and that explicit tempo decomposition via TFR* yields measurably better projections than either conventional variant. We now turn to the counterfactual analysis.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tempo-responsive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13</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after="80"/>
      </w:pPr>
      <w:r>
        <w:rPr>
          <w:b/>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Five-model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Observed = black; Tempo-responsive = blue; Tempo-invariant = orange dashed; Tempo-adjusted (TFR*) = green dash-dot; Fixed-parameter = red dotted. Tempo-responsive MAPE shown in upper-right corner.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pace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fixed-parameter model’s degradation over longer horizons reflects accumulating demographic change—the very phenomenon our decomposition quantifies.</w:t>
      </w:r>
    </w:p>
    <w:p>
      <w:pPr>
        <w:spacing w:before="360" w:after="80"/>
      </w:pPr>
      <w:r>
        <w:rPr>
          <w:b/>
          <w:sz w:val="22"/>
        </w:rPr>
        <w:t>Figure 3: Fixed-parameter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Four-model comparison—MAPE and final population ratio by country</w:t>
      </w:r>
    </w:p>
    <w:p>
      <w:pPr>
        <w:spacing w:after="40"/>
        <w:jc w:val="center"/>
      </w:pPr>
      <w:r>
        <w:drawing>
          <wp:inline xmlns:a="http://schemas.openxmlformats.org/drawingml/2006/main" xmlns:pic="http://schemas.openxmlformats.org/drawingml/2006/picture">
            <wp:extent cx="5486400" cy="3186491"/>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3186491"/>
                    </a:xfrm>
                    <a:prstGeom prst="rect"/>
                  </pic:spPr>
                </pic:pic>
              </a:graphicData>
            </a:graphic>
          </wp:inline>
        </w:drawing>
      </w:r>
    </w:p>
    <w:p>
      <w:pPr>
        <w:spacing w:after="240"/>
      </w:pPr>
      <w:r>
        <w:rPr>
          <w:i/>
          <w:sz w:val="18"/>
        </w:rPr>
        <w:t>Note: Left panel: MAPE by country for fixed-parameter (red), tempo-invariant (orange), tempo-responsive (blue), and tempo-adjusted TFR* (green). Right panel: final population ratio (model/observed in 2023). The tempo-adjusted model (TFR*) achieves the best overall fit, particularly in countries with strong postponement.</w:t>
      </w:r>
    </w:p>
    <w:p>
      <w:pPr>
        <w:pStyle w:val="Heading1"/>
      </w:pPr>
      <w:r>
        <w:rPr>
          <w:color w:val="000000"/>
        </w:rPr>
        <w:t>5. Discussion</w:t>
      </w:r>
    </w:p>
    <w:p>
      <w:pPr>
        <w:spacing w:after="240"/>
      </w:pPr>
      <w:r>
        <w:rPr>
          <w:b w:val="0"/>
          <w:i w:val="0"/>
          <w:sz w:val="24"/>
        </w:rPr>
        <w:t>Our results provide four main findings with implications for demographic research and policy.</w:t>
      </w:r>
    </w:p>
    <w:p>
      <w:pPr>
        <w:spacing w:after="240"/>
      </w:pPr>
      <w:r>
        <w:rPr>
          <w:b w:val="0"/>
          <w:i w:val="0"/>
          <w:sz w:val="24"/>
        </w:rPr>
        <w:t>First, and most fundamentally, the tempo effect on population size is invisible within standard projection frameworks. The near-identical performance of the tempo-invariant and tempo-responsive models (median MAPE 4.5% versus 4.6%) demonstrates that period TFR—the indicator on which virtually all national and international projections depend—absorbs tempo distortion without decomposing it. When MAC rises, period TFR falls mechanically,</w:t>
      </w:r>
      <w:r>
        <w:rPr>
          <w:b w:val="0"/>
          <w:i w:val="0"/>
          <w:sz w:val="24"/>
          <w:vertAlign w:val="superscript"/>
        </w:rPr>
        <w:t>3</w:t>
      </w:r>
      <w:r>
        <w:rPr>
          <w:b w:val="0"/>
          <w:i w:val="0"/>
          <w:sz w:val="24"/>
        </w:rPr>
        <w:t xml:space="preserve"> and projection systems treat this decline as if it were entirely quantum. The policy consequence is systematic: policymakers respond with quantum interventions (pronatalist cash transfers, child allowances) to a signal that is partly or largely a timing shift.</w:t>
      </w:r>
    </w:p>
    <w:p>
      <w:pPr>
        <w:spacing w:after="240"/>
      </w:pPr>
      <w:r>
        <w:rPr>
          <w:b w:val="0"/>
          <w:i w:val="0"/>
          <w:sz w:val="24"/>
        </w:rPr>
        <w:t>Second, explicit tempo decomposition via the Bongaarts–Feeney TFR* achieves the best overall fit (median MAPE 4.3%, mean 5.8%), outperforming both conventional variants. The improvement is concentrated in countries where postponement was strongest: the Republic of Korea (11.9% → 6.9%), China (15.6% → 8.6%), Colombia (13.1% → 7.8%), Sweden (5.7% → 3.5%), Denmark (3.0% → 1.0%). This pattern reveals where the tempo distortion is largest—and, by implication, where tempo-based policy interventions have the greatest potential demographic payoff. Conversely, countries where TFR* does not improve fit (e.g., France, Japan) are those where the period TFR decline was predominantly quantum—itself a policy-relevant distinction.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w:t>
      </w:r>
    </w:p>
    <w:p>
      <w:pPr>
        <w:spacing w:after="240"/>
      </w:pPr>
      <w:r>
        <w:rPr>
          <w:b w:val="0"/>
          <w:i w:val="0"/>
          <w:sz w:val="24"/>
        </w:rPr>
        <w:t>Third, the counterfactual decomposition reveals that tempo is typically the second-largest component of population change in post-transitional countries. The observed 4–6 year increase in MAC across OECD countries reduced SLP by 8–17%, magnitudes comparable to decades of below-replacement fertility.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14</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Fourth, the pace dimension has direct policy implications. Higher MAC accelerates the annual rate of population decline, compressing the time available for institutional adaptation. This reframes the policy problem. Population policy currently operates on two levers: boosting births (quantum interventions such as child allowances, parental leave, and pronatalist incentives) and extending lives (survival interventions such as healthcare investment and disease prevention). Our results demonstrate that a third lever exists: interventions that influence the timing of births. Tempo-sensitive policies—affordable housing that enables family formation at younger ages, universal childcare that reduces the opportunity cost of early parenthood, restructured educational and career pathways that do not penalise combining parenthood with professional development</w:t>
      </w:r>
      <w:r>
        <w:rPr>
          <w:b w:val="0"/>
          <w:i w:val="0"/>
          <w:sz w:val="24"/>
          <w:vertAlign w:val="superscript"/>
        </w:rPr>
        <w:t>15</w:t>
      </w:r>
      <w:r>
        <w:rPr>
          <w:b w:val="0"/>
          <w:i w:val="0"/>
          <w:sz w:val="24"/>
        </w:rPr>
        <w:t>—could slow the pace of population decline and expand the window for institutional adjustment, even without raising TFR.</w:t>
      </w:r>
    </w:p>
    <w:p>
      <w:pPr>
        <w:spacing w:after="240"/>
      </w:pPr>
      <w:r>
        <w:rPr>
          <w:b w:val="0"/>
          <w:i w:val="0"/>
          <w:sz w:val="24"/>
        </w:rPr>
        <w:t>The distinction between quantum and tempo interventions is not merely semantic. Quantum-focused policies (e.g., South Korea’s 47 trillion won package, Japan’s child allowance expansion) aim to increase the number of births. Tempo-focused policies aim to reduce the age at which existing births occur—a fundamentally different target. Gauthier</w:t>
      </w:r>
      <w:r>
        <w:rPr>
          <w:b w:val="0"/>
          <w:i w:val="0"/>
          <w:sz w:val="24"/>
          <w:vertAlign w:val="superscript"/>
        </w:rPr>
        <w:t>16</w:t>
      </w:r>
      <w:r>
        <w:rPr>
          <w:b w:val="0"/>
          <w:i w:val="0"/>
          <w:sz w:val="24"/>
        </w:rPr>
        <w:t xml:space="preserve"> showed that pronatalist cash transfers have modest and often transient effects on quantum; our analysis suggests that even if quantum remains unchanged, a 2-year reduction in MAC from current levels would increase SLP by 5–7% in most OECD countries—equivalent to roughly 10 years of moderate pronatalist success. This is a demographic dividend achievable without increasing the number of births per woman.</w:t>
      </w:r>
    </w:p>
    <w:p>
      <w:pPr>
        <w:spacing w:after="240"/>
      </w:pPr>
      <w:r>
        <w:rPr>
          <w:b w:val="0"/>
          <w:i w:val="0"/>
          <w:sz w:val="24"/>
        </w:rPr>
        <w:t>Bongaarts and Sobotka</w:t>
      </w:r>
      <w:r>
        <w:rPr>
          <w:b w:val="0"/>
          <w:i w:val="0"/>
          <w:sz w:val="24"/>
          <w:vertAlign w:val="superscript"/>
        </w:rPr>
        <w:t>17</w:t>
      </w:r>
      <w:r>
        <w:rPr>
          <w:b w:val="0"/>
          <w:i w:val="0"/>
          <w:sz w:val="24"/>
        </w:rPr>
        <w:t xml:space="preserve"> showed that some European countries had begun to reverse postponement trends, with period TFR recovering as tempo distortions subsided. Myrskylä, Kohler, and Billari</w:t>
      </w:r>
      <w:r>
        <w:rPr>
          <w:b w:val="0"/>
          <w:i w:val="0"/>
          <w:sz w:val="24"/>
          <w:vertAlign w:val="superscript"/>
        </w:rPr>
        <w:t>18</w:t>
      </w:r>
      <w:r>
        <w:rPr>
          <w:b w:val="0"/>
          <w:i w:val="0"/>
          <w:sz w:val="24"/>
        </w:rPr>
        <w:t xml:space="preserve"> demonstrated that advanced development can reverse fertility declines. Our results complement both findings by showing that even where quantum remains low, tempo adjustments independently alter the population trajectory. The policy implication is that the demographic response to population decline should not be framed as a binary choice between ‘more births’ and ‘more immigration’ but as a three-dimensional problem in which birth quantum, birth timing, and survival each constitute independent and actionable levers.</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Australian Bureau of Statistics (ABS) estimates. Our natural experiments analysis (Appendix A) demonstrates that Germany’s model misfit quantifies the demographic footprint of reunification as a migration shock.</w:t>
      </w:r>
    </w:p>
    <w:p>
      <w:pPr>
        <w:pStyle w:val="Heading2"/>
      </w:pPr>
      <w:r>
        <w:rPr>
          <w:color w:val="000000"/>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after="80"/>
      </w:pPr>
      <w:r>
        <w:rPr>
          <w:b/>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 (IPSS)</w:t>
            </w:r>
          </w:p>
        </w:tc>
        <w:tc>
          <w:tcPr>
            <w:tcW w:type="dxa" w:w="1872"/>
          </w:tcPr>
          <w:p>
            <w:r>
              <w:t>Cohort-component;</w:t>
              <w:br/>
              <w:t>3×3 variants</w:t>
            </w:r>
          </w:p>
        </w:tc>
        <w:tc>
          <w:tcPr>
            <w:tcW w:type="dxa" w:w="1872"/>
          </w:tcPr>
          <w:p>
            <w:r>
              <w:t>Cohort fertility model;</w:t>
              <w:br/>
              <w:t>MAC = 32.8</w:t>
            </w:r>
          </w:p>
        </w:tc>
        <w:tc>
          <w:tcPr>
            <w:tcW w:type="dxa" w:w="1872"/>
          </w:tcPr>
          <w:p>
            <w:r>
              <w:t>Lee–Carter; e₀ = 85.9/91.8</w:t>
            </w:r>
          </w:p>
        </w:tc>
        <w:tc>
          <w:tcPr>
            <w:tcW w:type="dxa" w:w="1872"/>
          </w:tcPr>
          <w:p>
            <w:r>
              <w:t>No</w:t>
            </w:r>
          </w:p>
        </w:tc>
      </w:tr>
      <w:tr>
        <w:tc>
          <w:tcPr>
            <w:tcW w:type="dxa" w:w="1872"/>
          </w:tcPr>
          <w:p>
            <w:r>
              <w:t>USA (Census)</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UK (ONS)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 (ISTAT)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(StatCan)</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 (NBS)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IPSS Japan (2023), US Census Bureau (2023), Destatis (2025), ONS UK (2025), INSEE France (2021), KOSTAT Korea (2023), ISTAT Italy (2023), ABS Australia (2018), Statistics Canada (2024), Eurostat (2024), CONAPO Mexico (2018), TurkStat (2023). Abbreviations: IPSS = National Institute of Population and Social Security Research; Destatis = Federal Statistical Office of Germany; ONS = Office for National Statistics; INSEE = National Institute of Statistics and Economic Studies; KOSTAT = Statistics Korea; ISTAT = National Institute of Statistics (Italy); ABS = Australian Bureau of Statistics; CONAPO = National Population Council (Mexico); NBS = National Bureau of Statistics of China; TurkStat = Turkish Statistical Institute.</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Our five-model comparison reveals why this gap matters. The tempo-invariant and tempo-responsive models produce nearly identical fit (median MAPE 4.5% versus 4.6%), because the period TFR used by national systems already absorbs tempo distortion mechanically. Policymakers never see the tempo channel—they see only a lower TFR and respond with quantum interventions. Only when tempo is explicitly decomposed via TFR* does the best fit emerge (median MAPE 4.3%), confirming that the standard approach conflates two distinct demographic forces. Japan’s IPSS has revised its long-term projection downward in virtually every round since the 1990s—not because its TFR or e₀ assumptions were wrong, but because the TFR signal conflated quantum and tempo, leading to systematically incorrect policy diagnosis.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4-parameter model is not designed to replace these national projection systems but to complement them by making the tempo–quantum–survival decomposition explicit. The tempo-adjusted model (TFR*) achieves median MAPE of 4.3% against these same populations—performance sufficient to establish the quantitative significance of the tempo channel, even though it cannot match the precision of full-parameterisation national models that include migration.</w:t>
      </w:r>
      <w:r>
        <w:rPr>
          <w:b w:val="0"/>
          <w:i w:val="0"/>
          <w:sz w:val="24"/>
          <w:vertAlign w:val="superscript"/>
        </w:rPr>
        <w:t>19,20</w:t>
      </w:r>
      <w:r>
        <w:rPr>
          <w:b w:val="0"/>
          <w:i w:val="0"/>
          <w:sz w:val="24"/>
        </w:rPr>
      </w:r>
    </w:p>
    <w:p>
      <w:pPr>
        <w:pStyle w:val="Heading2"/>
      </w:pPr>
      <w:r>
        <w:rPr>
          <w:color w:val="000000"/>
        </w:rPr>
        <w:t>5.2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21</w:t>
      </w:r>
      <w:r>
        <w:rPr>
          <w:b w:val="0"/>
          <w:i w:val="0"/>
          <w:sz w:val="24"/>
        </w:rPr>
        <w:t xml:space="preserve"> Second, our decadal update interval does not match the varying revision cycles of national statistical offices, which update their projections at intervals ranging from two years (Japan’s IPSS) to five or more years (Eurostat, US Census Bureau). We adopt the 10-year interval as a deliberate analytical choice for two reasons: (a) it approximates the time scale over which major population policy interventions—housing programmes, childcare systems, educational pathway reforms—are designed, implemented, and begin to produce measurable demographic effects</w:t>
      </w:r>
      <w:r>
        <w:rPr>
          <w:b w:val="0"/>
          <w:i w:val="0"/>
          <w:sz w:val="24"/>
          <w:vertAlign w:val="superscript"/>
        </w:rPr>
        <w:t>15</w:t>
      </w:r>
      <w:r>
        <w:rPr>
          <w:b w:val="0"/>
          <w:i w:val="0"/>
          <w:sz w:val="24"/>
        </w:rPr>
        <w:t>; and (b) it provides a conservative test of the tempo channel, since more frequent updates would narrow any remaining gap between model variants. That the tempo-adjusted model (TFR*) still achieves measurably better fit (median MAPE 4.3%) despite the conservative decadal interval strengthens the case for explicit tempo decomposition. Third, the Gompertz survival function fits adult mortality well but approximates infant and child mortality less precisely; national projections typically use more flexible models.</w:t>
      </w:r>
      <w:r>
        <w:rPr>
          <w:b w:val="0"/>
          <w:i w:val="0"/>
          <w:sz w:val="24"/>
          <w:vertAlign w:val="superscript"/>
        </w:rPr>
        <w:t>22</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23</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Five findings emerge.</w:t>
      </w:r>
    </w:p>
    <w:p>
      <w:pPr>
        <w:spacing w:after="240"/>
      </w:pPr>
      <w:r>
        <w:rPr>
          <w:b w:val="0"/>
          <w:i w:val="0"/>
          <w:sz w:val="24"/>
        </w:rPr>
        <w:t>First, the tempo effect is invisible within standard projection frameworks: tempo-invariant and tempo-responsive models yield nearly identical fit (median MAPE 4.5% versus 4.6%), because period TFR absorbs tempo distortion without decomposing it. Policymakers who rely on period TFR cannot distinguish postponement from permanent quantum decline. Second, explicit tempo decomposition via the Bongaarts–Feeney TFR* achieves the best overall fit (median MAPE 4.3%), with the largest improvements in countries experiencing strong postponement (Republic of Korea, China, Colombia). Third, the magnitude of the tempo effect is large: the observed rise in MAC across OECD countries independently reduced SLP by 8–17%, equivalent to 15–40 years of below-replacement fertility. Fourth, tempo is typically the second-largest component of population change in post-transitional countries, comparable in magnitude to quantum in several Central and Eastern European nations. Fifth, higher MAC accelerates the annual pace of population decline, compressing the time available for institutional adaptation.</w:t>
      </w:r>
    </w:p>
    <w:p>
      <w:pPr>
        <w:spacing w:after="360"/>
      </w:pPr>
      <w:r>
        <w:rPr>
          <w:b w:val="0"/>
          <w:i w:val="0"/>
          <w:sz w:val="24"/>
        </w:rPr>
        <w:t>These findings have two practical implications. For demographic assessment, the tools to decompose quantum and tempo already exist within national cohort-component projection systems; what is needed is the analytical step of reporting their separate contributions—a step that is straightforward in principle but absent in all 15 systems we reviewed. For population policy, the current framework operates on two levers—boosting births and extending lives—while ignoring the third. Our results demonstrate that birth timing constitutes an independent and quantitatively significant policy lever. Tempo-sensitive interventions—housing, childcare, educational reform—offer a complementary approach that operates not on the ultimate size of the population but on the speed at which demographic change unfolds. In an era where pronatalist policies have shown limited effectiveness in raising quantum,</w:t>
      </w:r>
      <w:r>
        <w:rPr>
          <w:b w:val="0"/>
          <w:i w:val="0"/>
          <w:sz w:val="24"/>
          <w:vertAlign w:val="superscript"/>
        </w:rPr>
        <w:t>16</w:t>
      </w:r>
      <w:r>
        <w:rPr>
          <w:b w:val="0"/>
          <w:i w:val="0"/>
          <w:sz w:val="24"/>
        </w:rPr>
        <w:t xml:space="preserve"> the tempo channel deserves systematic attention as a means of managing the pace of demographic transition.</w:t>
      </w:r>
    </w:p>
    <w:p>
      <w:pPr>
        <w:pStyle w:val="Heading2"/>
      </w:pPr>
      <w:r>
        <w:rPr>
          <w:color w:val="000000"/>
        </w:rPr>
        <w:t>GATHER compliance statement</w:t>
      </w:r>
    </w:p>
    <w:p>
      <w:pPr>
        <w:spacing w:after="360"/>
      </w:pPr>
      <w:r>
        <w:rPr>
          <w:b w:val="0"/>
          <w:i w:val="0"/>
          <w:sz w:val="24"/>
        </w:rPr>
        <w:t>This study reports population estimates and follows the Guidelines for Accurate and Transparent Health Estimates Reporting (GATHER).</w:t>
      </w:r>
      <w:r>
        <w:rPr>
          <w:b w:val="0"/>
          <w:i w:val="0"/>
          <w:sz w:val="24"/>
          <w:vertAlign w:val="superscript"/>
        </w:rPr>
        <w:t>12</w:t>
      </w:r>
      <w:r>
        <w:rPr>
          <w:b w:val="0"/>
          <w:i w:val="0"/>
          <w:sz w:val="24"/>
        </w:rPr>
        <w:t xml:space="preserve"> All input data are from UN WPP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Stevens GA, Alkema L, Black RE, et al. Guidelines for Accurate and Transparent Health Estimates Reporting: The GATHER statement. The Lancet 2016; 388(10062): e19–e23.</w:t>
      </w:r>
    </w:p>
    <w:p>
      <w:pPr>
        <w:spacing w:after="80"/>
      </w:pPr>
      <w:r>
        <w:rPr>
          <w:b w:val="0"/>
          <w:i w:val="0"/>
          <w:sz w:val="22"/>
        </w:rPr>
        <w:t>13. Kohler H-P, Billari FC, Ortega JA. The emergence of lowest-low fertility in Europe during the 1990s. Population and Development Review 2002; 28(4): 641–680.</w:t>
      </w:r>
    </w:p>
    <w:p>
      <w:pPr>
        <w:spacing w:after="80"/>
      </w:pPr>
      <w:r>
        <w:rPr>
          <w:b w:val="0"/>
          <w:i w:val="0"/>
          <w:sz w:val="22"/>
        </w:rPr>
        <w:t>14. Lutz W, Sanderson W, Scherbov S. The end of world population growth. Nature 2001; 412: 543–545.</w:t>
      </w:r>
    </w:p>
    <w:p>
      <w:pPr>
        <w:spacing w:after="80"/>
      </w:pPr>
      <w:r>
        <w:rPr>
          <w:b w:val="0"/>
          <w:i w:val="0"/>
          <w:sz w:val="22"/>
        </w:rPr>
        <w:t>15. McDonald P. Gender equity in theories of fertility transition. Population and Development Review 2000; 26(3): 427–439.</w:t>
      </w:r>
    </w:p>
    <w:p>
      <w:pPr>
        <w:spacing w:after="80"/>
      </w:pPr>
      <w:r>
        <w:rPr>
          <w:b w:val="0"/>
          <w:i w:val="0"/>
          <w:sz w:val="22"/>
        </w:rPr>
        <w:t>16. Gauthier AH. The impact of family policies on fertility in industrialized countries. Population Research and Policy Review 2007; 26(3): 323–346.</w:t>
      </w:r>
    </w:p>
    <w:p>
      <w:pPr>
        <w:spacing w:after="80"/>
      </w:pPr>
      <w:r>
        <w:rPr>
          <w:b w:val="0"/>
          <w:i w:val="0"/>
          <w:sz w:val="22"/>
        </w:rPr>
        <w:t>17. Bongaarts J, Sobotka T. A demographic explanation for the recent rise in European fertility. Population and Development Review 2012; 38(1): 83–120.</w:t>
      </w:r>
    </w:p>
    <w:p>
      <w:pPr>
        <w:spacing w:after="80"/>
      </w:pPr>
      <w:r>
        <w:rPr>
          <w:b w:val="0"/>
          <w:i w:val="0"/>
          <w:sz w:val="22"/>
        </w:rPr>
        <w:t>18. Myrskylä M, Kohler H-P, Billari FC. Advances in development reverse fertility declines. Nature 2009; 460: 741–743.</w:t>
      </w:r>
    </w:p>
    <w:p>
      <w:pPr>
        <w:spacing w:after="80"/>
      </w:pPr>
      <w:r>
        <w:rPr>
          <w:b w:val="0"/>
          <w:i w:val="0"/>
          <w:sz w:val="22"/>
        </w:rPr>
        <w:t>19. Gonand F. Assessing the robustness of demographic projections in OECD countries. OECD Economics Department Working Papers No. 464. Paris: OECD Publishing; 2005.</w:t>
      </w:r>
    </w:p>
    <w:p>
      <w:pPr>
        <w:spacing w:after="80"/>
      </w:pPr>
      <w:r>
        <w:rPr>
          <w:b w:val="0"/>
          <w:i w:val="0"/>
          <w:sz w:val="22"/>
        </w:rPr>
        <w:t>20. Lee RD, Carter LR. Modeling and forecasting U.S. mortality. Journal of the American Statistical Association 1992; 87(419): 659–671.</w:t>
      </w:r>
    </w:p>
    <w:p>
      <w:pPr>
        <w:spacing w:after="80"/>
      </w:pPr>
      <w:r>
        <w:rPr>
          <w:b w:val="0"/>
          <w:i w:val="0"/>
          <w:sz w:val="22"/>
        </w:rPr>
        <w:t>21. Frejka T, Sobotka T. Fertility in Europe: Diverse, delayed and below replacement. Demographic Research 2008; 19(3): 15–46.</w:t>
      </w:r>
    </w:p>
    <w:p>
      <w:pPr>
        <w:spacing w:after="80"/>
      </w:pPr>
      <w:r>
        <w:rPr>
          <w:b w:val="0"/>
          <w:i w:val="0"/>
          <w:sz w:val="22"/>
        </w:rPr>
        <w:t>22. Wilmoth JR, Zureick S, Canudas-Romo V, Inoue M, Sawyer C. A flexible two-dimensional mortality model for use in indirect estimation. Population Studies 2012; 66(1): 1–28.</w:t>
      </w:r>
    </w:p>
    <w:p>
      <w:pPr>
        <w:spacing w:after="80"/>
      </w:pPr>
      <w:r>
        <w:rPr>
          <w:b w:val="0"/>
          <w:i w:val="0"/>
          <w:sz w:val="22"/>
        </w:rPr>
        <w:t>23. Lesthaeghe R. The unfolding story of the Second Demographic Transition. Population and Development Review 2010; 36(2): 211–251.</w:t>
      </w:r>
    </w:p>
    <w:p>
      <w:pPr>
        <w:spacing w:after="80"/>
      </w:pPr>
      <w:r>
        <w:rPr>
          <w:b w:val="0"/>
          <w:i w:val="0"/>
          <w:sz w:val="22"/>
        </w:rPr>
        <w:t>24. Goldstein JR, Kreyenfeld M. Has East Germany overtaken West Germany? Recent trends in order-specific fertility. Population and Development Review 2011; 37(3): 453–472.</w:t>
      </w:r>
    </w:p>
    <w:p>
      <w:pPr>
        <w:spacing w:after="80"/>
      </w:pPr>
      <w:r>
        <w:rPr>
          <w:b w:val="0"/>
          <w:i w:val="0"/>
          <w:sz w:val="22"/>
        </w:rPr>
        <w:t>25. Witte JC, Wagner GG. Declining fertility in East Germany after unification. Population and Development Review 1995; 21(2): 387–397.</w:t>
      </w:r>
    </w:p>
    <w:p>
      <w:r>
        <w:br w:type="page"/>
      </w:r>
    </w:p>
    <w:p>
      <w:pPr>
        <w:pStyle w:val="Heading1"/>
      </w:pPr>
      <w:r>
        <w:rPr>
          <w:color w:val="000000"/>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We analyse five such cases.</w:t>
      </w:r>
    </w:p>
    <w:p>
      <w:pPr>
        <w:pStyle w:val="Heading2"/>
      </w:pPr>
      <w:r>
        <w:rPr>
          <w:color w:val="000000"/>
        </w:rPr>
        <w:t>A.1 Germany: Reunification as a migration shock (1990)</w:t>
      </w:r>
    </w:p>
    <w:p>
      <w:pPr>
        <w:spacing w:after="120"/>
      </w:pPr>
      <w:r>
        <w:rPr>
          <w:b w:val="0"/>
          <w:i w:val="0"/>
          <w:sz w:val="24"/>
        </w:rPr>
        <w:t>German reunification on 3 October 1990 merged two populations that had evolved under sharply different demographic regimes for 41 years. East Germany had lower life expectancy (~74.5 versus ~76.0 in the West in 1990), earlier childbearing (MAC ≈ 25.1 vs. 28.3), and higher but declining TFR (1.52 vs. 1.45). The immediate aftermath saw massive East-to-West migration (~1.9 million between 1989 and 1992) and a dramatic fertility collapse in the East (TFR fell to 0.77 in 1994).</w:t>
      </w:r>
      <w:r>
        <w:rPr>
          <w:b w:val="0"/>
          <w:i w:val="0"/>
          <w:sz w:val="24"/>
          <w:vertAlign w:val="superscript"/>
        </w:rPr>
        <w:t>24,25</w:t>
      </w:r>
      <w:r>
        <w:rPr>
          <w:b w:val="0"/>
          <w:i w:val="0"/>
          <w:sz w:val="24"/>
        </w:rPr>
      </w:r>
    </w:p>
    <w:p>
      <w:pPr>
        <w:spacing w:after="120"/>
      </w:pPr>
      <w:r>
        <w:rPr>
          <w:b w:val="0"/>
          <w:i w:val="0"/>
          <w:sz w:val="24"/>
        </w:rPr>
        <w:t>We model East and West Germany separately, run both forward from 1970, and construct a synthetic combined trajectory. This represents the counterfactual: what would Germany’s population have looked like without reunification-related migration?</w:t>
      </w:r>
    </w:p>
    <w:p>
      <w:pPr>
        <w:spacing w:after="80"/>
      </w:pPr>
      <w:r>
        <w:rPr>
          <w:b/>
          <w:i w:val="0"/>
          <w:sz w:val="22"/>
        </w:rPr>
        <w:t>Table A1: Germany reunification — synthetic East+West versus observed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4"/>
        </w:rPr>
        <w:t>The widening gap (3.6% to 15.8%) reflects three compounding processes absent from the closed model: (a) net immigration to unified Germany averaging ~300,000–400,000 per year; (b) internal East-to-West migration; and (c) convergence of East German fertility toward Western patterns. The overall MAPE of 6.4% confirms that Germany’s relatively poor fit in the main analysis is attributable to reunification’s migration effects, not structural model failure.</w:t>
      </w:r>
    </w:p>
    <w:p>
      <w:pPr>
        <w:spacing w:before="360" w:after="80"/>
      </w:pPr>
      <w:r>
        <w:rPr>
          <w:b/>
          <w:sz w:val="22"/>
        </w:rPr>
        <w:t>Figure A-1: Germany reunification analysis</w:t>
      </w:r>
    </w:p>
    <w:p>
      <w:pPr>
        <w:spacing w:after="40"/>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pPr>
      <w:r>
        <w:rPr>
          <w:i/>
          <w:sz w:val="18"/>
        </w:rPr>
        <w:t>Note: (a) Modelled East and West Germany with synthetic combined trajectory versus observed unified Germany. (b) Percentage deviation over time.</w:t>
      </w:r>
    </w:p>
    <w:p>
      <w:pPr>
        <w:pStyle w:val="Heading2"/>
      </w:pPr>
      <w:r>
        <w:rPr>
          <w:color w:val="000000"/>
        </w:rPr>
        <w:t>A.2 Czechoslovakia: The Velvet Divorce (1993)</w:t>
      </w:r>
    </w:p>
    <w:p>
      <w:pPr>
        <w:spacing w:after="240"/>
      </w:pPr>
      <w:r>
        <w:rPr>
          <w:b w:val="0"/>
          <w:i w:val="0"/>
          <w:sz w:val="24"/>
        </w:rPr>
        <w:t>The peaceful dissolution of Czechoslovakia on 1 January 1993 created Czechia and Slovakia with relatively limited cross-border migration. MAPE: Czechia 6.3%, Slovakia 9.9%. Slovakia’s higher error reflects emigration to Czechia and Western Europe following EU accession (2004).</w:t>
      </w:r>
    </w:p>
    <w:p>
      <w:pPr>
        <w:pStyle w:val="Heading2"/>
      </w:pPr>
      <w:r>
        <w:rPr>
          <w:color w:val="000000"/>
        </w:rPr>
        <w:t>A.3 Yugoslavia: Dissolution and conflict (1991–2001)</w:t>
      </w:r>
    </w:p>
    <w:p>
      <w:pPr>
        <w:spacing w:after="240"/>
      </w:pPr>
      <w:r>
        <w:rPr>
          <w:b w:val="0"/>
          <w:i w:val="0"/>
          <w:sz w:val="24"/>
        </w:rPr>
        <w:t>The breakup of Yugoslavia involved armed conflict and massive refugee flows. Model performance varies: Croatia (4.1%), North Macedonia (6.4%) show reasonable fit; Bosnia and Herzegovina (8.1%) and Slovenia (12.2%) show larger errors. The range illustrates how conflict-driven migration creates heterogeneous deviations from the endogenous renewal baseline.</w:t>
      </w:r>
    </w:p>
    <w:p>
      <w:pPr>
        <w:pStyle w:val="Heading2"/>
      </w:pPr>
      <w:r>
        <w:rPr>
          <w:color w:val="000000"/>
        </w:rPr>
        <w:t>A.4 Baltic States: USSR dissolution (1991)</w:t>
      </w:r>
    </w:p>
    <w:p>
      <w:pPr>
        <w:spacing w:after="240"/>
      </w:pPr>
      <w:r>
        <w:rPr>
          <w:b w:val="0"/>
          <w:i w:val="0"/>
          <w:sz w:val="24"/>
        </w:rPr>
        <w:t>Estonia, Latvia, and Lithuania gained independence in 1991. MAPE ranges from 4.8% (Estonia) to 7.1% (Lithuania), reflecting persistent emigration. Even moderate but sustained net emigration (~0.5–1.0% annually) accumulates substantially over three decades.</w:t>
      </w:r>
    </w:p>
    <w:p>
      <w:pPr>
        <w:pStyle w:val="Heading2"/>
      </w:pPr>
      <w:r>
        <w:rPr>
          <w:color w:val="000000"/>
        </w:rPr>
        <w:t>A.5 Ethiopia and Eritrea: Separation (1993)</w:t>
      </w:r>
    </w:p>
    <w:p>
      <w:pPr>
        <w:spacing w:after="120"/>
      </w:pPr>
      <w:r>
        <w:rPr>
          <w:b w:val="0"/>
          <w:i w:val="0"/>
          <w:sz w:val="24"/>
        </w:rPr>
        <w:t>Eritrean independence separated two populations in high-fertility transition. Ethiopia (MAPE 16.5%) shows overprojection from rapid fertility decline. Eritrea (37.8%) shows the largest error, driven by conflict and data uncertainty.</w:t>
      </w:r>
    </w:p>
    <w:p>
      <w:pPr>
        <w:spacing w:before="360" w:after="80"/>
      </w:pPr>
      <w:r>
        <w:rPr>
          <w:b/>
          <w:sz w:val="22"/>
        </w:rPr>
        <w:t>Figure A-2: Natural experiments summary</w:t>
      </w:r>
    </w:p>
    <w:p>
      <w:pPr>
        <w:spacing w:after="40"/>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pPr>
      <w:r>
        <w:rPr>
          <w:i/>
          <w:sz w:val="18"/>
        </w:rPr>
        <w:t>Note: Population trajectories for five cases of major political/border change. Red vertical lines mark the year of political change.</w:t>
      </w:r>
    </w:p>
    <w:p>
      <w:pPr>
        <w:pStyle w:val="Heading2"/>
      </w:pPr>
      <w:r>
        <w:rPr>
          <w:color w:val="000000"/>
        </w:rPr>
        <w:t>A.6 Synthesis</w:t>
      </w:r>
    </w:p>
    <w:p>
      <w:pPr>
        <w:spacing w:after="80"/>
      </w:pPr>
      <w:r>
        <w:rPr>
          <w:b/>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