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abroad author-years accumulated by origin and destination civilisation. Destination is approximated by the author’s recent_group for all years in which they are abroad; this is a lower-bound approximation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2037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0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abroad stock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capping dropout at 1.5 times its 90th percentile in the training window;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2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1.77</w:t>
            </w:r>
          </w:p>
        </w:tc>
        <w:tc>
          <w:tcPr>
            <w:tcW w:type="dxa" w:w="2880"/>
          </w:tcPr>
          <w:p>
            <w:r>
              <w:t>25.25%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1.97</w:t>
            </w:r>
          </w:p>
        </w:tc>
        <w:tc>
          <w:tcPr>
            <w:tcW w:type="dxa" w:w="2880"/>
          </w:tcPr>
          <w:p>
            <w:r>
              <w:t>27.21%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2.44</w:t>
            </w:r>
          </w:p>
        </w:tc>
        <w:tc>
          <w:tcPr>
            <w:tcW w:type="dxa" w:w="2880"/>
          </w:tcPr>
          <w:p>
            <w:r>
              <w:t>39.35%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4.99</w:t>
            </w:r>
          </w:p>
        </w:tc>
        <w:tc>
          <w:tcPr>
            <w:tcW w:type="dxa" w:w="2880"/>
          </w:tcPr>
          <w:p>
            <w:r>
              <w:t>68.85%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32.15%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1.83</w:t>
            </w:r>
          </w:p>
        </w:tc>
        <w:tc>
          <w:tcPr>
            <w:tcW w:type="dxa" w:w="2880"/>
          </w:tcPr>
          <w:p>
            <w:r>
              <w:t>37.57%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2.74</w:t>
            </w:r>
          </w:p>
        </w:tc>
        <w:tc>
          <w:tcPr>
            <w:tcW w:type="dxa" w:w="2880"/>
          </w:tcPr>
          <w:p>
            <w:r>
              <w:t>42.92%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5.30</w:t>
            </w:r>
          </w:p>
        </w:tc>
        <w:tc>
          <w:tcPr>
            <w:tcW w:type="dxa" w:w="2880"/>
          </w:tcPr>
          <w:p>
            <w:r>
              <w:t>70.88%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4.79</w:t>
            </w:r>
          </w:p>
        </w:tc>
        <w:tc>
          <w:tcPr>
            <w:tcW w:type="dxa" w:w="2880"/>
          </w:tcPr>
          <w:p>
            <w:r>
              <w:t>38.20%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1.15</w:t>
            </w:r>
          </w:p>
        </w:tc>
        <w:tc>
          <w:tcPr>
            <w:tcW w:type="dxa" w:w="2880"/>
          </w:tcPr>
          <w:p>
            <w:r>
              <w:t>72.09%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2.42</w:t>
            </w:r>
          </w:p>
        </w:tc>
        <w:tc>
          <w:tcPr>
            <w:tcW w:type="dxa" w:w="2880"/>
          </w:tcPr>
          <w:p>
            <w:r>
              <w:t>29.41%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1.63</w:t>
            </w:r>
          </w:p>
        </w:tc>
        <w:tc>
          <w:tcPr>
            <w:tcW w:type="dxa" w:w="2880"/>
          </w:tcPr>
          <w:p>
            <w:r>
              <w:t>28.94%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6.54</w:t>
            </w:r>
          </w:p>
        </w:tc>
        <w:tc>
          <w:tcPr>
            <w:tcW w:type="dxa" w:w="2880"/>
          </w:tcPr>
          <w:p>
            <w:r>
              <w:t>44.20%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1.98</w:t>
            </w:r>
          </w:p>
        </w:tc>
        <w:tc>
          <w:tcPr>
            <w:tcW w:type="dxa" w:w="2880"/>
          </w:tcPr>
          <w:p>
            <w:r>
              <w:t>47.03%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3.32</w:t>
            </w:r>
          </w:p>
        </w:tc>
        <w:tc>
          <w:tcPr>
            <w:tcW w:type="dxa" w:w="2880"/>
          </w:tcPr>
          <w:p>
            <w:r>
              <w:t>33.25%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3.35, MAPE = 42.49%.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