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and heat waves are increasing; because driving continues in heat, fatal crashes may involve heat-related impairment or unrecorded heat illness.</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(270,497 crash deaths), a +9°C anomaly raised same-day crash mortality, RR 1.165 (95% CI 1.134-1.196), and remained robust to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(FARS, 2016-2022)</w:t>
      </w:r>
      <w:r>
        <w:rPr>
          <w:vertAlign w:val="superscript"/>
        </w:rPr>
        <w:t>5</w:t>
      </w:r>
      <w:r>
        <w:t xml:space="preserve"> and by Japanese prefecture (NPA accident open data, 2019-2024).</w:t>
      </w:r>
      <w:r>
        <w:rPr>
          <w:vertAlign w:val="superscript"/>
        </w:rPr>
        <w:t>6</w:t>
      </w:r>
      <w:r>
        <w:t xml:space="preserve"> Daily mean temperature was taken from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The complete analysis code and reproducible pipeline (make all for data and figures, then make aap for the manuscript and submission package) are openly available in the project repository;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