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and heat waves are increasing; because driving continues in heat, fatal crashes may involve heat-related impairment or unrecorded heat illness.</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