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in Japan, 2008–2024: a rate-based analysis with equivalence testing",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 for healthcare decisions. Our study treats specialty workforce maldistribution as a resource-allocation problem and applies a transparent, reproducible health-analytics pipeline to answer whether malpractice-litigation risk drives physicians away from high-risk specialties. The analytical contribution is diagnostic: we show how two common observational fallacies—size confounding and interpolation of sparse panel data—can be identified and removed when evaluating a proposed policy lever.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Using national primary data for 12 clinical specialties in Japan, we measure exposure as a size-adjusted rate (closed malpractice claims per 1,000 physicians) and estimate panel fixed-effects models with equivalence (TOST) testing. The effect of litigation risk on physician and hospital growth is statistically equivalent to a null within policy-relevant margins. We show that count-based associations disappear once specialty-size confounding and interpolation are removed, and we discuss how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