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examined whether specialty-level litigation risk predicts later physician or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p=&lt;0.001; hospital growth was within ±2% (p=0.002) but not the stricter ±1% margin (p=0.059). Sensitivity analyses were unchanged and per-specialty rank correlations were mostly positive (10/12) and none significant. Specialty-level litigation risk in Japan is not associated with workforce decline and is statistically equivalent to a null effect for physicians. These findings, drawn from one health system, suggest that structural workforce incentives, rather than litigation-avoidance messaging, warrant analytical attention.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The litigation-workforce question is therefore also a test case for a transparent, reproducible health-analytics workflow.</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standardised the litigation-rate exposure for the equivalence analysis so the coefficient gives the expected biennial log-change per one-SD increase in the exposure. Because only 12 specialties provide clusters, 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We pre-specified margins of ±1% and ±2% biennial workforce change because they are smaller than typical policy targets for specialty workforce rebalancing and represent changes that workforce planners would consider substantively small.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(p=0.51). Figure 2 illustrates the difference between the two exposure definitions: a count exposure spans specialty size (panel a), whereas the size-adjusted rate does not (panel b); points are coloured by specialty so the reader can identify which fields drive any apparent outliers. The annual hospital and the interpolated annual physician sensitivity analyses were also null (p=0.99 and p=0.39), confirming that size confounding and interpolation are sufficient to create spurious associations. The JOCS-CP indicator was directionally positive in the obstetric-hospital model (coefficient +0.024, raw p=0.013), but the association was not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account for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is too small or too confounded by concurrent obstetric policies to be isolated here.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