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3558 words</w:t>
      </w:r>
    </w:p>
    <w:p>
      <w:r>
        <w:rPr>
          <w:rFonts w:ascii="Times New Roman" w:hAnsi="Times New Roman"/>
          <w:i/>
          <w:sz w:val="24"/>
        </w:rPr>
        <w:t>Tables: 2   Figures: 2   References: 25</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BMC Health Services Research</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separating true differences in care from coding, reimbursement and audit artefacts is rarely possible. Japan's uniform fee schedule and prefecture-specific claims auditing provide a quasi-experimental setting for separating structural access from administrative artefacts. We quantified the respective contributions of university hospital proximity and prefectural claims auditing to regional variation in anaesthesia practice under universal health coverage.</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tested robustness to population density and anaesthesiologist supply, log-transformed ratios, and an upper-bound audit-rate impact.</w:t>
      </w:r>
    </w:p>
    <w:p>
      <w:r>
        <w:rPr>
          <w:rFonts w:ascii="Times New Roman" w:hAnsi="Times New Roman"/>
          <w:sz w:val="24"/>
        </w:rPr>
        <w:t>Results: Coefficients of variation ranged from 53.7% to 87.2%. For general anaesthesia, only 5.8% of variance lay between prefectures; university hospital presence accounted for 35.8% of total variance (P &lt; 0.001). The association persisted after log transformation and covariate adjustment; audit-related ratio shifts were small relative to observed variation, supporting structural access over differential auditing.</w:t>
      </w:r>
    </w:p>
    <w:p>
      <w:r>
        <w:rPr>
          <w:rFonts w:ascii="Times New Roman" w:hAnsi="Times New Roman"/>
          <w:sz w:val="24"/>
        </w:rPr>
        <w:t>Conclusions: Regional variation in anaesthesia practice is predominantly associated with access to university hospitals rather than with prefectural auditing. In universal-coverage systems this pattern suggests inequitable access to neuraxial techniques; policy efforts may need to address workforce and organisational barriers rather than rely on additional coding audits.</w:t>
      </w:r>
    </w:p>
    <w:p>
      <w:r>
        <w:rPr>
          <w:rFonts w:ascii="Times New Roman" w:hAnsi="Times New Roman"/>
          <w:sz w:val="24"/>
        </w:rPr>
        <w:t>Trial registration: Not applicable.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equity; universal health coverage; health services research; Japan</w:t>
      </w:r>
    </w:p>
    <w:p>
      <w:r>
        <w:br w:type="page"/>
      </w:r>
    </w:p>
    <w:p>
      <w:pPr>
        <w:spacing w:before="0" w:after="120"/>
      </w:pPr>
      <w:r>
        <w:rPr>
          <w:rFonts w:ascii="Times New Roman" w:hAnsi="Times New Roman"/>
          <w:b/>
          <w:sz w:val="26"/>
        </w:rPr>
        <w:t>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marker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w:t>
      </w:r>
      <w:r>
        <w:rPr>
          <w:rFonts w:ascii="Times New Roman" w:hAnsi="Times New Roman"/>
          <w:sz w:val="24"/>
        </w:rPr>
        <w:t>[4]</w:t>
      </w:r>
      <w:r>
        <w:rPr>
          <w:rFonts w:ascii="Times New Roman" w:hAnsi="Times New Roman"/>
          <w:sz w:val="24"/>
        </w:rPr>
        <w:t>, so price variation is eliminated, while prefectures independently operate claims audits</w:t>
      </w:r>
      <w:r>
        <w:rPr>
          <w:rFonts w:ascii="Times New Roman" w:hAnsi="Times New Roman"/>
          <w:sz w:val="24"/>
        </w:rPr>
        <w:t>[3]</w:t>
      </w:r>
      <w:r>
        <w:rPr>
          <w:rFonts w:ascii="Times New Roman" w:hAnsi="Times New Roman"/>
          <w:sz w:val="24"/>
        </w:rPr>
        <w:t>. Anaesthesia is a useful tracer: the choice between general anaesthesia alone and neuraxial or combined techniques is clinically consequential and has been associated with patient outcomes in selected populations</w:t>
      </w:r>
      <w:r>
        <w:rPr>
          <w:rFonts w:ascii="Times New Roman" w:hAnsi="Times New Roman"/>
          <w:sz w:val="24"/>
        </w:rPr>
        <w:t>[5-7]</w:t>
      </w:r>
      <w:r>
        <w:rPr>
          <w:rFonts w:ascii="Times New Roman" w:hAnsi="Times New Roman"/>
          <w:sz w:val="24"/>
        </w:rPr>
        <w:t>. Because neuraxial and combined techniques require specialised workforce and technical resources, their availability may vary by geography. If access depends on where patients live, the probability of receiving potentially beneficial care is influenced by place of residence, which is an equity problem under universal coverage. Because the FY2022 data predate the 2026 clarification of the general-anaesthesia billing code, any coding ambiguity that existed during the study period is retained in the analysis</w:t>
      </w:r>
      <w:r>
        <w:rPr>
          <w:rFonts w:ascii="Times New Roman" w:hAnsi="Times New Roman"/>
          <w:sz w:val="24"/>
        </w:rPr>
        <w:t>[8]</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[9]</w:t>
      </w:r>
      <w:r>
        <w:rPr>
          <w:rFonts w:ascii="Times New Roman" w:hAnsi="Times New Roman"/>
          <w:sz w:val="24"/>
        </w:rPr>
        <w:t>,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[10]</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[11]</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[12]</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w:t>
      </w:r>
      <w:r>
        <w:rPr>
          <w:rFonts w:ascii="Cambria Math" w:hAnsi="Cambria Math"/>
          <w:sz w:val="24"/>
        </w:rPr>
        <m:oMath>
          <m:r>
            <m:rPr>
              <m:sty m:val="p"/>
            </m:rPr>
            <m:t xml:space="preserve">100</m:t>
          </m:r>
          <m:r>
            <m:rPr>
              <m:sty m:val="p"/>
            </m:rPr>
            <m:t xml:space="preserve">×</m:t>
          </m:r>
          <m:f>
            <m:num>
              <m:r>
                <m:rPr>
                  <m:sty m:val="p"/>
                </m:rPr>
                <m:t xml:space="preserve">O</m:t>
              </m:r>
            </m:num>
            <m:den>
              <m:r>
                <m:rPr>
                  <m:sty m:val="p"/>
                </m:rPr>
                <m:t xml:space="preserve">E</m:t>
              </m:r>
            </m:den>
          </m:f>
        </m:oMath>
      </w:r>
      <w:r>
        <w:rPr>
          <w:rFonts w:ascii="Times New Roman" w:hAnsi="Times New Roman"/>
          <w:sz w:val="24"/>
        </w:rPr>
        <w:t>, where O and E are the observed and expected claim counts.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[13]</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[14]</w:t>
      </w:r>
      <w:r>
        <w:rPr>
          <w:rFonts w:ascii="Times New Roman" w:hAnsi="Times New Roman"/>
          <w:sz w:val="24"/>
        </w:rPr>
        <w:t>.</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Four primary anaesthesia procedure codes from the Japanese fee schedule were used for multilevel analysis: L008 (closed-circuit general anaesthesia); L002 (epidural anaesthesia as main technique); L003 (continuous epidural infusion, largely billed as an adjunct to general anaesthesia); and L004 (spinal anaesthesia). Two additional codes, L009 (anaesthesia management fee I) and L100 (inpatient nerve block), were retained for descriptive context only, as proxies for specialist anaesthesiologist staffing and inpatient pain-clinic activity; they were not entered into the multilevel models because the hypothesised structural and audit mechanisms refer to the choice of anaesthetic technique.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160" w:after="80"/>
      </w:pPr>
      <w:r>
        <w:rPr>
          <w:rFonts w:ascii="Times New Roman" w:hAnsi="Times New Roman"/>
          <w:b/>
          <w:sz w:val="24"/>
        </w:rPr>
        <w:t>Statistical analysis</w:t>
      </w:r>
    </w:p>
    <w:p>
      <w:r>
        <w:rPr>
          <w:rFonts w:ascii="Times New Roman" w:hAnsi="Times New Roman"/>
          <w:sz w:val="24"/>
        </w:rPr>
        <w:t>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w:t>
      </w:r>
      <w:r>
        <w:rPr>
          <w:rFonts w:ascii="Times New Roman" w:hAnsi="Times New Roman"/>
          <w:sz w:val="24"/>
        </w:rPr>
        <w:t>[15]</w:t>
      </w:r>
      <w:r>
        <w:rPr>
          <w:rFonts w:ascii="Times New Roman" w:hAnsi="Times New Roman"/>
          <w:sz w:val="24"/>
        </w:rPr>
        <w:t>. The null model intraclass correlation coefficient quantified the proportion of variance between prefectures, and the proportional reduction in total variance (sometimes labelled marginal R²) measured the decrease in total (prefecture-level plus residual) variance after adding the university-hospital fixed effect. We conducted the following sensitivity and robustness analyses: within-prefecture paired comparisons of university and non-university areas; a covariate-adjusted model adding the natural logarithm of population density and the anaesthesiologist share of all physicians; an empirical Bayes shrinkage</w:t>
      </w:r>
      <w:r>
        <w:rPr>
          <w:rFonts w:ascii="Times New Roman" w:hAnsi="Times New Roman"/>
          <w:sz w:val="24"/>
        </w:rPr>
        <w:t>[16]</w:t>
      </w:r>
      <w:r>
        <w:rPr>
          <w:rFonts w:ascii="Times New Roman" w:hAnsi="Times New Roman"/>
          <w:sz w:val="24"/>
        </w:rPr>
        <w:t xml:space="preserve"> stress-test of area-level ratios toward prefecture means; and a log-transformed multilevel model to address right-skewed SCR distributions and influential outliers. To examine the audit hypothesis specifically, we used the multilevel variance decomposition, pairwise correlations between codes, an upper-bound estimate of the maximum prefectural audit-rate impact, and a combined general/spinal anaesthesia measure. Effect sizes for the university-hospital comparison were summarised using Cohen's d</w:t>
      </w:r>
      <w:r>
        <w:rPr>
          <w:rFonts w:ascii="Times New Roman" w:hAnsi="Times New Roman"/>
          <w:sz w:val="24"/>
        </w:rPr>
        <w:t>[17]</w:t>
      </w:r>
      <w:r>
        <w:rPr>
          <w:rFonts w:ascii="Times New Roman" w:hAnsi="Times New Roman"/>
          <w:sz w:val="24"/>
        </w:rPr>
        <w:t>. No formal multiple-comparison adjustment was applied; reported p-values are nominal and should be interpreted as exploratory. All analyses were performed in Python 3.10 using NumPy, Pandas, SciPy and Statsmodels</w:t>
      </w:r>
      <w:r>
        <w:rPr>
          <w:rFonts w:ascii="Times New Roman" w:hAnsi="Times New Roman"/>
          <w:sz w:val="24"/>
        </w:rPr>
        <w:t>[18]</w:t>
      </w:r>
      <w:r>
        <w:rPr>
          <w:rFonts w:ascii="Times New Roman" w:hAnsi="Times New Roman"/>
          <w:sz w:val="24"/>
        </w:rPr>
        <w:t>.</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the primary anaesthesia codes (Table 1).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1. Distribution of standardised claim ratios across 335 secondary medical areas,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bl>
    <w:p>
      <w:pPr>
        <w:spacing w:before="120" w:after="240"/>
      </w:pPr>
      <w:r>
        <w:rPr>
          <w:rFonts w:ascii="Times New Roman" w:hAnsi="Times New Roman"/>
          <w:i/>
          <w:sz w:val="24"/>
        </w:rPr>
        <w:t>National average = 100. SD, standard deviation; IQR, interquartile range; CV, coefficient of variation. L008 = closed-circuit general anaesthesia; L002 = epidural anaesthesia as main technique; L003 = continuous epidural infusion, largely billed as an adjunct to general anaesthesia; L004 = spinal anaesthesia. Areas with low claim volume are masked by the data provider and appear as missing values; the n column reflects the number of secondary medical areas with non-missing values for each code.</w:t>
      </w: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5.8% of general anaesthesia variance was attributable to the prefecture level (intraclass correlation coefficient 0.058), indicating that 94.2%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proportional reduction in total variance for general anaesthesia (35.8%; β = +64.1, 95% confidence interval 54.8 to 73.4) and was statistically significant for every code (all P &lt; 0.001) (Table 2). A log-transformed sensitivity model yielded the same direction of association for general anaesthesia (β = 0.75, 95% CI 0.61 to 0.89, P &lt; 0.001), supporting the robustness of the linear model findings to right-skewed ratios and extreme outliers. University hospital areas had higher general anaesthesia ratios than non-university areas in all 47 prefectures, with a mean within-prefecture difference of +63.3 points (t = 13.28, P &lt; 0.001) (Figure 2A). Cohen's d for the university hospital effect on general anaesthesia was 1.88; on continuous epidural infusion 1.12; on epidural anaesthesia 0.59; and on spinal anaesthesia 0.40. As a robustness check we averaged the L008 and L003 standardised claim ratios (an unweighted mean, not a clinical co-administration rate; 331 areas with data for both codes); this combined measure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2. Multilevel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Proportional reduction in total variance</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proportional reduction in total variance, decrease in total (prefecture + residual) variance after adding the university hospital fixed effect to the null random-intercept model.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(β = +41.8, 95% CI 32.4 to 51.2, P &lt; 0.001), epidural anaesthesia (β = +39.1, 95% CI 14.5 to 63.7, P = 0.002) and continuous epidural infusion (β = +33.9, 95% CI 20.0 to 47.7, P &lt; 0.001). For spinal anaesthesia the point estimate was positive but no longer statistically significant (β = +9.7, 95% CI -4.0 to 23.3, P = 0.165). Population density was positively associated with general anaesthesia ratios (β = 8.3, P &lt; 0.001) but not with the other three codes. The anaesthesiologist share was positively associated with general, epidural, continuous epidural and spinal anaesthesia (general P &lt; 0.001, epidural P = 0.039, continuous epidural P &lt; 0.001 and spinal P = 0.005). The covariate-adjusted mixed models produced optimizer-convergence warnings in Statsmodels</w:t>
      </w:r>
      <w:r>
        <w:rPr>
          <w:rFonts w:ascii="Times New Roman" w:hAnsi="Times New Roman"/>
          <w:sz w:val="24"/>
        </w:rPr>
        <w:t>[18]</w:t>
      </w:r>
      <w:r>
        <w:rPr>
          <w:rFonts w:ascii="Times New Roman" w:hAnsi="Times New Roman"/>
          <w:sz w:val="24"/>
        </w:rPr>
        <w:t>; we therefore refitted them with the lbfgs and cg optimisers, and the point estimates remained stable across optimisers and sensitivity analyses.</w:t>
      </w:r>
    </w:p>
    <w:p>
      <w:pPr>
        <w:spacing w:before="160" w:after="80"/>
      </w:pPr>
      <w:r>
        <w:rPr>
          <w:rFonts w:ascii="Times New Roman" w:hAnsi="Times New Roman"/>
          <w:b/>
          <w:sz w:val="24"/>
        </w:rPr>
        <w:t>Checks against the audit hypothesis</w:t>
      </w:r>
    </w:p>
    <w:p>
      <w:r>
        <w:rPr>
          <w:rFonts w:ascii="Times New Roman" w:hAnsi="Times New Roman"/>
          <w:sz w:val="24"/>
        </w:rPr>
        <w:t>Several lines of evidence pointed away from differential auditing as the main explanation. First, the multilevel model estimates that only 5.8% of general anaesthesia variance lies between prefectures, where audit policy differs, so differential auditing can account for at most a small share of observed variation. University hospital presence accounted for 35.8% of total variance in the same model, a structural component far larger than the between-prefecture share. Second, general and spinal anaesthesia were positively correlated (r = 0.235, P &lt; 0.001), as were general and epidural anaesthesia (r = 0.319, P &lt; 0.001). Positive correlations are more consistent with a common supply-side factor than with audit-driven reclassification, although a uniform audit effect across all codes cannot be ruled out. Third, the maximum prefectural audit-rate difference of 0.28 percentage points could produce a ratio shift of approximately 0.28 points under the conservative, linear one-to-one mapping, equivalent to approximately 0.53% of the observed interquartile range for general anaesthesia and 0.27% for epidural anaesthesia. Fourth, combining general (L008) and spinal (L004) ratios produced an alternative measure that should be insensitive to miscoding between reclassifiable codes; it showed a coefficient of variation of 43.4% and a university hospital effect that remained large (Cohen's d 1.26), indicating that the structural effect is not erased as an artefact by combining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general-anaesthesia effect remained moderate even after substantial shrinkage, whereas the L002 and L004 effects were materially attenuated, indicating that those smaller raw effects are more vulnerable to sampling instability. These shrinkage estimates are consistent in direction with the mixed-effects model coefficients reported in Table 2. Two areas were outliers (more than three standard deviations from the mean general anaesthesia ratio): Awa in Chiba (ratio 216.7) and central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Summary of principal findings</w:t>
      </w:r>
    </w:p>
    <w:p>
      <w:r>
        <w:rPr>
          <w:rFonts w:ascii="Times New Roman" w:hAnsi="Times New Roman"/>
          <w:sz w:val="24"/>
        </w:rPr>
        <w:t>Regional variation in anaesthesia practice across Japan's 335 secondary medical areas is substantial and appears to reflect structural access factors more than prefectural auditing. University hospital presence was associated with the largest proportional reduction in total variance for general anaesthesia and a positive association in every prefecture, while the proportion of variance attributable to prefecture-level factors -- where audit intensity differs -- was small. The audit-sensitivity checks and robustness analyses pointed away from differential auditing as the main explanation. Because the outcome is a reimbursed claim ratio, the observed gradient reflects billed service delivery rather than bedside intention; however, the within-prefecture structure of the data and the audit-sensitivity analyses make it unlikely that differential scrutiny is the full explanation. The remaining variation is therefore best interpreted as a geographic pattern in the provision of potentially beneficial anaesthesia services.</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[19]</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A further limitation is that the standardised claim ratios are residence-based, whereas university hospital presence is a provider-location variable. If patients cross secondary medical area boundaries for surgery, the estimated university-hospital effect is an ecological association between local supply and residents' reimbursement rather than a causal effect of living in the same area. We could not access code-specific audit rates, so the audit-sensitivity bound relies on the aggregate prefectural audit differential and the simplifying assumption of a one-to-one percentage-point mapping.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International generalizability and clinical relevance</w:t>
      </w:r>
    </w:p>
    <w:p>
      <w:r>
        <w:rPr>
          <w:rFonts w:ascii="Times New Roman" w:hAnsi="Times New Roman"/>
          <w:sz w:val="24"/>
        </w:rPr>
        <w:t>These findings are consistent with the broader literature on geographic variation in medical practice. The Dartmouth Atlas project documented extensive regional variation in surgical rates in the United States, attributed primarily to physician supply and practice style</w:t>
      </w:r>
      <w:r>
        <w:rPr>
          <w:rFonts w:ascii="Times New Roman" w:hAnsi="Times New Roman"/>
          <w:sz w:val="24"/>
        </w:rPr>
        <w:t>[20]</w:t>
      </w:r>
      <w:r>
        <w:rPr>
          <w:rFonts w:ascii="Times New Roman" w:hAnsi="Times New Roman"/>
          <w:sz w:val="24"/>
        </w:rPr>
        <w:t>. Comparable patterns have been described for the National Health Service in England</w:t>
      </w:r>
      <w:r>
        <w:rPr>
          <w:rFonts w:ascii="Times New Roman" w:hAnsi="Times New Roman"/>
          <w:sz w:val="24"/>
        </w:rPr>
        <w:t>[21]</w:t>
      </w:r>
      <w:r>
        <w:rPr>
          <w:rFonts w:ascii="Times New Roman" w:hAnsi="Times New Roman"/>
          <w:sz w:val="24"/>
        </w:rPr>
        <w:t>, Germany</w:t>
      </w:r>
      <w:r>
        <w:rPr>
          <w:rFonts w:ascii="Times New Roman" w:hAnsi="Times New Roman"/>
          <w:sz w:val="24"/>
        </w:rPr>
        <w:t>[22]</w:t>
      </w:r>
      <w:r>
        <w:rPr>
          <w:rFonts w:ascii="Times New Roman" w:hAnsi="Times New Roman"/>
          <w:sz w:val="24"/>
        </w:rPr>
        <w:t xml:space="preserve"> and Australia</w:t>
      </w:r>
      <w:r>
        <w:rPr>
          <w:rFonts w:ascii="Times New Roman" w:hAnsi="Times New Roman"/>
          <w:sz w:val="24"/>
        </w:rPr>
        <w:t>[23]</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one of the first multilevel small-area analyses of anaesthesia technique under universal coverage in East Asia using publicly available, nationwide standardised claim ratios. The university hospital effect we report (Cohen's d = 1.88) is substantial and consistent with the influence of the ikyoku (university medical office) system on practice in affiliated hospitals</w:t>
      </w:r>
      <w:r>
        <w:rPr>
          <w:rFonts w:ascii="Times New Roman" w:hAnsi="Times New Roman"/>
          <w:sz w:val="24"/>
        </w:rPr>
        <w:t>[24]</w:t>
      </w:r>
      <w:r>
        <w:rPr>
          <w:rFonts w:ascii="Times New Roman" w:hAnsi="Times New Roman"/>
          <w:sz w:val="24"/>
        </w:rPr>
        <w:t>.</w:t>
      </w:r>
    </w:p>
    <w:p>
      <w:r>
        <w:rPr>
          <w:rFonts w:ascii="Times New Roman" w:hAnsi="Times New Roman"/>
          <w:sz w:val="24"/>
        </w:rPr>
        <w:t>The quasi-experimental design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[25]</w:t>
      </w:r>
      <w:r>
        <w:rPr>
          <w:rFonts w:ascii="Times New Roman" w:hAnsi="Times New Roman"/>
          <w:sz w:val="24"/>
        </w:rPr>
        <w:t xml:space="preserve"> and South Korea's National Health Insurance Service, and national fee-schedule systems such as the English National Health Service</w:t>
      </w:r>
      <w:r>
        <w:rPr>
          <w:rFonts w:ascii="Times New Roman" w:hAnsi="Times New Roman"/>
          <w:sz w:val="24"/>
        </w:rPr>
        <w:t>[21]</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[5-7]</w:t>
      </w:r>
      <w:r>
        <w:rPr>
          <w:rFonts w:ascii="Times New Roman" w:hAnsi="Times New Roman"/>
          <w:sz w:val="24"/>
        </w:rPr>
        <w:t>. Geographic variation in these techniques therefore raises the possibility that billing variation may correspond to variation in care processes that are associated with modifiable patient outcomes, not merely to variation in billing. Because the observed gradient is unlikely to reflect differential auditing alone, interventions may warrant targeting workforce distribution, training and organisational capacity rather than coding compliance.</w:t>
      </w:r>
    </w:p>
    <w:p>
      <w:pPr>
        <w:spacing w:before="160" w:after="80"/>
      </w:pPr>
      <w:r>
        <w:rPr>
          <w:rFonts w:ascii="Times New Roman" w:hAnsi="Times New Roman"/>
          <w:b/>
          <w:sz w:val="24"/>
        </w:rPr>
        <w:t>Implications for perioperative practice and policy</w:t>
      </w:r>
    </w:p>
    <w:p>
      <w:r>
        <w:rPr>
          <w:rFonts w:ascii="Times New Roman" w:hAnsi="Times New Roman"/>
          <w:sz w:val="24"/>
        </w:rPr>
        <w:t>Three potential policy implications follow.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suggests a potential equity gap: patients' access to techniques that may improve recovery appears to depend on whether they live near a university hospital. Third, regulators may be better served by addressing workforce and organisational determinants of anaesthesia service delivery rather than treating low regional ratios primarily as coding or fraud issues.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CONCLUSIONS</w:t>
      </w:r>
    </w:p>
    <w:p>
      <w:r>
        <w:rPr>
          <w:rFonts w:ascii="Times New Roman" w:hAnsi="Times New Roman"/>
          <w:sz w:val="24"/>
        </w:rPr>
        <w:t>Regional variation in anaesthesia practice under universal coverage in Japan is substantial and appears to reflect structural access factors -- notably proximity to university hospitals -- more than prefectural claims auditing. The pattern is best interpreted as a documented service-delivery gradient that is consistent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would benefit from separating administrative from structural sources before interpreting claims data as care variation or a coding issue.</w:t>
      </w:r>
    </w:p>
    <w:p>
      <w:pPr>
        <w:spacing w:before="240" w:after="120"/>
      </w:pPr>
      <w:r>
        <w:rPr>
          <w:rFonts w:ascii="Times New Roman" w:hAnsi="Times New Roman"/>
          <w:b/>
          <w:sz w:val="26"/>
        </w:rPr>
        <w:t>DECLARATIONS</w:t>
      </w:r>
    </w:p>
    <w:p>
      <w:pPr>
        <w:spacing w:before="160" w:after="80"/>
      </w:pPr>
      <w:r>
        <w:rPr>
          <w:rFonts w:ascii="Times New Roman" w:hAnsi="Times New Roman"/>
          <w:b/>
          <w:sz w:val="24"/>
        </w:rPr>
        <w:t>Ethics approval and consent to participate</w:t>
      </w:r>
    </w:p>
    <w:p>
      <w:r>
        <w:rPr>
          <w:rFonts w:ascii="Times New Roman" w:hAnsi="Times New Roman"/>
          <w:sz w:val="24"/>
        </w:rPr>
        <w:t>This study used publicly available aggregate data only. Ethics committee approval was not required under the Ethical Guidelines for Medical and Biological Research Involving Human Subjects (Japan, 2021 revision).</w:t>
      </w:r>
    </w:p>
    <w:p>
      <w:pPr>
        <w:spacing w:before="160" w:after="80"/>
      </w:pPr>
      <w:r>
        <w:rPr>
          <w:rFonts w:ascii="Times New Roman" w:hAnsi="Times New Roman"/>
          <w:b/>
          <w:sz w:val="24"/>
        </w:rPr>
        <w:t>Consent for publication</w:t>
      </w:r>
    </w:p>
    <w:p>
      <w:r>
        <w:rPr>
          <w:rFonts w:ascii="Times New Roman" w:hAnsi="Times New Roman"/>
          <w:sz w:val="24"/>
        </w:rPr>
        <w:t>Not applicable.</w:t>
      </w:r>
    </w:p>
    <w:p>
      <w:pPr>
        <w:spacing w:before="160" w:after="80"/>
      </w:pPr>
      <w:r>
        <w:rPr>
          <w:rFonts w:ascii="Times New Roman" w:hAnsi="Times New Roman"/>
          <w:b/>
          <w:sz w:val="24"/>
        </w:rPr>
        <w:t>Availability of data and materials</w:t>
      </w:r>
    </w:p>
    <w:p>
      <w:r>
        <w:rPr>
          <w:rFonts w:ascii="Times New Roman" w:hAnsi="Times New Roman"/>
          <w:sz w:val="24"/>
        </w:rPr>
        <w:t>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archived on Zenodo (https://doi.org/10.5281/zenodo.21912042).</w:t>
      </w:r>
    </w:p>
    <w:p>
      <w:pPr>
        <w:spacing w:before="160" w:after="80"/>
      </w:pPr>
      <w:r>
        <w:rPr>
          <w:rFonts w:ascii="Times New Roman" w:hAnsi="Times New Roman"/>
          <w:b/>
          <w:sz w:val="24"/>
        </w:rPr>
        <w:t>Competing interests</w:t>
      </w:r>
    </w:p>
    <w:p>
      <w:r>
        <w:rPr>
          <w:rFonts w:ascii="Times New Roman" w:hAnsi="Times New Roman"/>
          <w:sz w:val="24"/>
        </w:rPr>
        <w:t>[To be completed by the authors.] No known competing interests.</w:t>
      </w:r>
    </w:p>
    <w:p>
      <w:pPr>
        <w:spacing w:before="160" w:after="80"/>
      </w:pPr>
      <w:r>
        <w:rPr>
          <w:rFonts w:ascii="Times New Roman" w:hAnsi="Times New Roman"/>
          <w:b/>
          <w:sz w:val="24"/>
        </w:rPr>
        <w:t>Funding</w:t>
      </w:r>
    </w:p>
    <w:p>
      <w:r>
        <w:rPr>
          <w:rFonts w:ascii="Times New Roman" w:hAnsi="Times New Roman"/>
          <w:sz w:val="24"/>
        </w:rPr>
        <w:t>[To be completed by the authors.] This work received no specific grant.</w:t>
      </w:r>
    </w:p>
    <w:p>
      <w:pPr>
        <w:spacing w:before="160" w:after="80"/>
      </w:pPr>
      <w:r>
        <w:rPr>
          <w:rFonts w:ascii="Times New Roman" w:hAnsi="Times New Roman"/>
          <w:b/>
          <w:sz w:val="24"/>
        </w:rPr>
        <w:t>Authors' contributions</w:t>
      </w:r>
    </w:p>
    <w:p>
      <w:r>
        <w:rPr>
          <w:rFonts w:ascii="Times New Roman" w:hAnsi="Times New Roman"/>
          <w:sz w:val="24"/>
        </w:rPr>
        <w:t>[To be completed by the authors.]</w:t>
      </w:r>
    </w:p>
    <w:p>
      <w:pPr>
        <w:spacing w:before="160" w:after="80"/>
      </w:pPr>
      <w:r>
        <w:rPr>
          <w:rFonts w:ascii="Times New Roman" w:hAnsi="Times New Roman"/>
          <w:b/>
          <w:sz w:val="24"/>
        </w:rPr>
        <w:t>Use of AI tools</w:t>
      </w:r>
    </w:p>
    <w:p>
      <w:r>
        <w:rPr>
          <w:rFonts w:ascii="Times New Roman" w:hAnsi="Times New Roman"/>
          <w:sz w:val="24"/>
        </w:rPr>
        <w:t>During the preparation of this manuscript the authors used Devin (Cognition AI) as a coding assistant for data processing, statistical modelling, geographic visualisation and manuscript formatting. After using this tool, the authors reviewed and edited the content as needed and take full responsibility for the integrity and accuracy of the published work.</w:t>
      </w:r>
    </w:p>
    <w:p>
      <w:pPr>
        <w:spacing w:before="160" w:after="80"/>
      </w:pPr>
      <w:r>
        <w:rPr>
          <w:rFonts w:ascii="Times New Roman" w:hAnsi="Times New Roman"/>
          <w:b/>
          <w:sz w:val="24"/>
        </w:rPr>
        <w:t>Acknowledgements</w:t>
      </w:r>
    </w:p>
    <w:p>
      <w:r>
        <w:rPr>
          <w:rFonts w:ascii="Times New Roman" w:hAnsi="Times New Roman"/>
          <w:sz w:val="24"/>
        </w:rPr>
        <w:t>The authors thank the Cabinet Office Regional Variation Visualisation initiative, the Ministry of Health, Labour and Welfare, and the Ministry of Land, Infrastructure, Transport and Tourism for maintaining the public datasets used in this study.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5.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6.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7.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8.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9.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10.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11.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12.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13.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14.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15.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16.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17.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18.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19.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20.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21.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22.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23.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24.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25. </w:t>
      </w:r>
      <w:r>
        <w:rPr>
          <w:rFonts w:ascii="Times New Roman" w:hAnsi="Times New Roman"/>
          <w:sz w:val="24"/>
        </w:rPr>
        <w:t>Cheng T-M. Taiwan's new national health insurance program: genesis and experience so far. Health Aff (Millwood) 2003;22:61-76.</w:t>
      </w:r>
    </w:p>
    <w:p>
      <w:pPr>
        <w:spacing w:before="240" w:after="120"/>
      </w:pPr>
      <w:r>
        <w:rPr>
          <w:rFonts w:ascii="Times New Roman" w:hAnsi="Times New Roman"/>
          <w:b/>
          <w:sz w:val="26"/>
        </w:rPr>
        <w:t>FIGURE LEGENDS</w:t>
      </w:r>
    </w:p>
    <w:p>
      <w:pPr>
        <w:spacing w:after="240"/>
      </w:pPr>
      <w:r>
        <w:rPr>
          <w:rFonts w:ascii="Times New Roman" w:hAnsi="Times New Roman"/>
          <w:b/>
          <w:sz w:val="20"/>
        </w:rPr>
        <w:t>Figure 1. Geographic distribution of anaesthesia standardised claim ratios across 335 secondary medical areas.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 Fiscal year 2022.</w:t>
      </w:r>
    </w:p>
    <w:p>
      <w:pPr>
        <w:spacing w:after="240"/>
      </w:pPr>
      <w:r>
        <w:rPr>
          <w:rFonts w:ascii="Times New Roman" w:hAnsi="Times New Roman"/>
          <w:b/>
          <w:sz w:val="20"/>
        </w:rPr>
        <w:t>Figure 2. University hospital presence and the combined general-epidural measure. (A) Geographic distribution of secondary medical areas containing at least one university hospital (n = 64 of 335; red). (B) Choropleth map of the combined general-anaesthesia plus continuous-epidural standardised claim ratio (unweighted mean of L008 and L003 SCRs, not a clinical co-administration rate;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