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There is no 'typical Japanese patient': regional variation in pain-related prescribing across Japan's 47 prefectures</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r>
        <w:t>3706 (including references, tables and figure captions; JoPPP limit &lt;= 6,000)</w:t>
      </w:r>
    </w:p>
    <w:p>
      <w:r>
        <w:br w:type="page"/>
      </w:r>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chronic postsurgical pain proxy, adjusted for confounding diseases using multiple regression. Standardised claim ratios (SCR) confirmed findings after age-sex standardisation.</w:t>
      </w:r>
    </w:p>
    <w:p>
      <w:r>
        <w:rPr>
          <w:b/>
        </w:rPr>
        <w:t xml:space="preserve">Results: </w:t>
      </w:r>
      <w:r>
        <w:t>Acute analgesic prescribing varied 1.97-fold across prefectures (Kruskal–Wallis P&lt;0.001). Tohoku—traditionally considered Japan’s most stoic region—prescribed more, not fewer, analgesics (Cohen’s d=0.87). Unadjusted neuropathic pain prescribing showed a large Tohoku excess (d=2.81), but diabetes drug prescribing was a strong confounder (r=0.87). After adjustment, the Tohoku effect was attenuated by 84% (P=0.32). SCR confirmed 2.33-fold variation after age-sex standardisation.</w:t>
      </w:r>
    </w:p>
    <w:p>
      <w:r>
        <w:rPr>
          <w:b/>
        </w:rPr>
        <w:t xml:space="preserve">Conclusion: </w:t>
      </w:r>
      <w:r>
        <w:t>Nearly twofold within-country variation demonstrates that cultural labels do not predict analgesic need. Confounding diseases substantially modified the apparent regional pattern. Clinicians should base analgesic decisions on individual assessment rather than cultural assumptions.</w:t>
      </w:r>
    </w:p>
    <w:p>
      <w:r>
        <w:t>Keywords: pain; analgesics; cultural stereotype; regional variation; Japan; NDB Open Data</w:t>
      </w:r>
    </w:p>
    <w:p>
      <w:r>
        <w:br w:type="page"/>
      </w:r>
    </w:p>
    <w:p>
      <w:pPr>
        <w:pStyle w:val="Heading1"/>
      </w:pPr>
      <w:r>
        <w:rPr>
          <w:rFonts w:ascii="Times New Roman" w:hAnsi="Times New Roman"/>
          <w:color w:val="000000"/>
        </w:rPr>
        <w:t>Background</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mirogabalin, duloxetine, tramadol, and neurotropin.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(proxy for diabetic neuropathy, the most common cause of neuropathic pain in Japan), herpes zoster antivirals (proxy for postherpetic neuralgia), antidepressants excluding duloxetine (proxy for depression, which shares gabapentinoid prescribing), and anxiolytics (proxy for anxiety disorders). Each proxy was expressed per surgery to maintain consistency with the primary outcome. Outpatient nerve block procedure counts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CPSP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274,579,850 analgesic prescription units across 47 prefectures. The national mean analgesic-per-surgery index was 35.78 (SD 5.69),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7 of nine with a mean index of 39.97 (SD 3.53), significantly above the non-Tohoku mean of 35.17 (Mann–Whitney U=190, P=0.031; Cohen’s d=0.87). All six Tohoku prefectures ranked in the upper half nationally.</w:t>
      </w:r>
    </w:p>
    <w:p>
      <w:pPr>
        <w:pStyle w:val="Heading2"/>
      </w:pPr>
      <w:r>
        <w:rPr>
          <w:rFonts w:ascii="Times New Roman" w:hAnsi="Times New Roman"/>
          <w:color w:val="000000"/>
        </w:rPr>
        <w:t>Phase 2: Outpatient neuropathic pain prescribing (unadjusted)</w:t>
      </w:r>
    </w:p>
    <w:p>
      <w:r>
        <w:t>Nationally, outpatient neuropathic pain drug prescriptions totalled 2,289,380,822 units, comprising pregabalin (40.2%), neurotropin (20.1%), mirogabalin (19.6%), duloxetine (15.3%), and tramadol (4.9%). Tohoku had a markedly higher neuropathic pain prescribing-per-surgery index (432.8 vs 282.5; P&lt;0.001; d=2.81), with Iwate (565.5), Aomori (519.9), and Akita (459.3) occupying the top three nationally (figure 1).</w:t>
      </w:r>
    </w:p>
    <w:p>
      <w:pPr>
        <w:spacing w:before="480" w:after="120"/>
        <w:jc w:val="center"/>
      </w:pPr>
      <w:r>
        <w:rPr>
          <w:color w:val="808080"/>
          <w:sz w:val="20"/>
        </w:rPr>
        <w:t>[Insert Figure 1 here]</w:t>
      </w:r>
    </w:p>
    <w:p>
      <w:pPr>
        <w:spacing w:before="12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P&lt;0.001), antidepressants (r=0.46, P=0.001), and herpes antivirals (r=0.19, P=0.194). These four confounders collectively explained 81.4% of between-prefecture variance in neuropathic pain prescribing (R²=0.814 in Model 2; figure 2).</w:t>
      </w:r>
    </w:p>
    <w:p>
      <w:pPr>
        <w:spacing w:before="480" w:after="120"/>
        <w:jc w:val="center"/>
      </w:pPr>
      <w:r>
        <w:rPr>
          <w:color w:val="808080"/>
          <w:sz w:val="20"/>
        </w:rPr>
        <w:t>[Insert Figure 2 here]</w:t>
      </w:r>
    </w:p>
    <w:p>
      <w:pPr>
        <w:spacing w:before="12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P=0.32; d=0.44; figure 3). Chugoku emerged as having the highest adjusted index, while Tokai had the lowest.</w:t>
      </w:r>
    </w:p>
    <w:p>
      <w:pPr>
        <w:spacing w:before="480" w:after="120"/>
        <w:jc w:val="center"/>
      </w:pPr>
      <w:r>
        <w:rPr>
          <w:color w:val="808080"/>
          <w:sz w:val="20"/>
        </w:rPr>
        <w:t>[Insert Figure 3 here]</w:t>
      </w:r>
    </w:p>
    <w:p>
      <w:pPr>
        <w:spacing w:before="12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(r=0.28,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Within-country heterogeneity challenges cultural stereotypes</w:t>
      </w:r>
    </w:p>
    <w:p>
      <w:r>
        <w:t>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beneath the surface of a nationally shared cultural norm.</w:t>
      </w:r>
    </w:p>
    <w:p>
      <w:pPr>
        <w:pStyle w:val="Heading2"/>
      </w:pPr>
      <w:r>
        <w:rPr>
          <w:rFonts w:ascii="Times New Roman" w:hAnsi="Times New Roman"/>
          <w:color w:val="000000"/>
        </w:rPr>
        <w:t>Implications for clinical practice</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(r=0.28,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Regional stigma in an era of mobility</w:t>
      </w:r>
    </w:p>
    <w:p>
      <w:r>
        <w:t>The premise of region-based stereotyping is increasingly untenable. A patient presenting in a Singapore hospital may have been born in Japan, raised in Australia, and working across Southeast Asia—rendering any assumption based on nationality meaningless. Medicine is an encounter between a clinician and an individual patient, not a cultural category. Individualised assessment provides the only reliable basis for analgesic decision-making in a mobile, multicultural world.</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1"/>
      </w:pPr>
      <w:r>
        <w:rPr>
          <w:rFonts w:ascii="Times New Roman" w:hAnsi="Times New Roman"/>
          <w:color w:val="000000"/>
        </w:rPr>
        <w:t>Conclusion</w:t>
      </w:r>
    </w:p>
    <w:p>
      <w:r>
        <w:t>Cultural labels do not predict analgesic need. Despite Japan’s culturally ingrained norm of pain endurance, perioperative and chronic pain-related prescribing varies up to 1.97-fold across prefectures. Any clinician who adjusts analgesic dosing based on the label “Japanese patient” risks both over- and under-treatment. Individualised pain assessment should replace culturally stereotyped assumptions.</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Disclosure statement</w:t>
      </w:r>
    </w:p>
    <w:p>
      <w:r>
        <w:t>The author reports no conflicts of interest.</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https://github.com/bougtoir/bbb-bhb-research/tree/main/ndb-pain-regional-variation-japan.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 doi:10.1177/1084822303015004003</w:t>
      </w:r>
    </w:p>
    <w:p>
      <w:r>
        <w:rPr>
          <w:b/>
        </w:rPr>
        <w:t xml:space="preserve">2 </w:t>
      </w:r>
      <w:r>
        <w:t>Rogger R, Bello C, Romero CS, et al. Cultural framing and the impact on acute pain and pain services. Curr Pain Headache Rep 2023;27:429–36. doi:10.1007/s11916-023-01134-3</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 doi:10.30574/ijsra.2024.11.1.0298</w:t>
      </w:r>
    </w:p>
    <w:p>
      <w:r>
        <w:rPr>
          <w:b/>
        </w:rPr>
        <w:t xml:space="preserve">5 </w:t>
      </w:r>
      <w:r>
        <w:t>Hobara M. Beliefs about appropriate pain behavior: cross-cultural and sex differences between Japanese and Euro-Americans. Eur J Pain 2005;9:389–93. doi:10.1016/j.ejpain.2004.09.006</w:t>
      </w:r>
    </w:p>
    <w:p>
      <w:r>
        <w:rPr>
          <w:b/>
        </w:rPr>
        <w:t xml:space="preserve">6 </w:t>
      </w:r>
      <w:r>
        <w:t>Feng Y, Herdman M, van Nooten F, et al. An exploration of differences between Japan and two European countries in the self-reporting and valuation of pain and discomfort on the EQ-5D. Qual Life Res 2017;26:2067–78. doi:10.1007/s11136-017-1541-7</w:t>
      </w:r>
    </w:p>
    <w:p>
      <w:r>
        <w:rPr>
          <w:b/>
        </w:rPr>
        <w:t xml:space="preserve">7 </w:t>
      </w:r>
      <w:r>
        <w:t>Cohen D, Nisbett RE, Bowdle BF, et al. Insult, aggression, and the southern culture of honor: an "experimental ethnography." J Pers Soc Psychol 1996;70:945–60. doi:10.1037/0022-3514.70.5.945</w:t>
      </w:r>
    </w:p>
    <w:p>
      <w:r>
        <w:rPr>
          <w:b/>
        </w:rPr>
        <w:t xml:space="preserve">8 </w:t>
      </w:r>
      <w:r>
        <w:t>Kumagai S. Media representations reproducing images of Tohoku: the Tohoku reconstruction corner in "Secret Kenmin SHOW." Kotoba 2020;41:21–38. [in Japanese]</w:t>
      </w:r>
    </w:p>
    <w:p>
      <w:r>
        <w:rPr>
          <w:b/>
        </w:rPr>
        <w:t xml:space="preserve">9 </w:t>
      </w:r>
      <w:r>
        <w:t>Takeda K, Yarimizu K. Regional differences in the pain expression uzuku. NINJAL Research Papers 2016;10:85–107. [in Japanese]</w:t>
      </w:r>
    </w:p>
    <w:p>
      <w:r>
        <w:rPr>
          <w:b/>
        </w:rPr>
        <w:t xml:space="preserve">10 </w:t>
      </w:r>
      <w:r>
        <w:t>Pfizer Japan Inc. 47-prefecture survey on chronic pain. https://www.pfizer.co.jp/pfizer/company/press/2017 (accessed 1 Feb 2025).</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w:t>
      </w:r>
    </w:p>
    <w:p>
      <w:r>
        <w:rPr>
          <w:b/>
        </w:rPr>
        <w:t xml:space="preserve">14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15 </w:t>
      </w:r>
      <w:r>
        <w:t>von Elm E, Altman DG, Egger M, et al. The Strengthening the Reporting of Observational Studies in Epidemiology (STROBE) statement: guidelines for reporting observational studies. Lancet 2007;370:1453–7. doi:10.1016/S0140-6736(07)61602-X</w:t>
      </w:r>
    </w:p>
    <w:p>
      <w:r>
        <w:rPr>
          <w:b/>
        </w:rPr>
        <w:t xml:space="preserve">16 </w:t>
      </w:r>
      <w:r>
        <w:t>Benchimol EI, Smeeth L, Guttmann A, et al. The REporting of studies Conducted using Observational Routinely-collected health Data (RECORD) statement. PLoS Med 2015;12:e1001885. doi:10.1371/journal.pmed.1001885</w:t>
      </w:r>
    </w:p>
    <w:p>
      <w:r>
        <w:rPr>
          <w:b/>
        </w:rPr>
        <w:t xml:space="preserve">17 </w:t>
      </w:r>
      <w:r>
        <w:t>Anderson KO, Green CR, Payne R. Racial and ethnic disparities in pain: causes and consequences of unequal care. J Pain 2009;10:1187–204. doi:10.1016/j.jpain.2009.06.010</w:t>
      </w:r>
    </w:p>
    <w:p>
      <w:r>
        <w:rPr>
          <w:b/>
        </w:rPr>
        <w:t xml:space="preserve">18 </w:t>
      </w:r>
      <w:r>
        <w:t>Campbell CM, Edwards RR. Ethnic differences in pain and pain management. Pain Manag 2012;2:219–30. doi:10.2217/pmt.12.7</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w:t>
      </w:r>
    </w:p>
    <w:p>
      <w:r>
        <w:rPr>
          <w:b/>
        </w:rPr>
        <w:t xml:space="preserve">21 </w:t>
      </w:r>
      <w:r>
        <w:t>Raja SN, Carr DB, Cohen M, et al. The revised International Association for the Study of Pain definition of pain: concepts, challenges, and compromises. Pain 2020;161:1976–82. doi:10.1097/j.pain.0000000000001939</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2024;13:233. doi:10.12688/f1000research.147085.2</w:t>
      </w:r>
    </w:p>
    <w:p>
      <w:r>
        <w:rPr>
          <w:b/>
        </w:rPr>
        <w:t xml:space="preserve">23 </w:t>
      </w:r>
      <w:r>
        <w:t>Kehlet H, Jensen TS, Woolf CJ. Persistent postsurgical pain: risk factors and prevention. Lancet 2006;367:1618–25. doi:10.1016/S0140-6736(06)68700-X</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