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20" w:line="480" w:lineRule="auto"/>
        <w:jc w:val="center"/>
      </w:pPr>
      <w:r>
        <w:rPr>
          <w:rFonts w:ascii="Times New Roman" w:hAnsi="Times New Roman" w:eastAsia="MS Mincho"/>
          <w:b/>
          <w:i w:val="0"/>
          <w:sz w:val="28"/>
        </w:rPr>
        <w:t>TABLE 2. POPULATION-CAPITAL TEMPO CORRESPONDENCE.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left w:val="none" w:sz="0" w:space="0" w:color="auto"/>
          <w:right w:val="none" w:sz="0" w:space="0" w:color="auto"/>
          <w:insideV w:val="none" w:sz="0" w:space="0" w:color="auto"/>
          <w:top w:val="single" w:sz="4" w:space="0" w:color="000000"/>
          <w:bottom w:val="single" w:sz="4" w:space="0" w:color="000000"/>
          <w:insideH w:val="single" w:sz="4" w:space="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1872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Concept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Population (Bongaarts-Feeney, 1998)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Capital (this paper)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Flow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Births B(t)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Investment I(t)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Stock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Population N(t)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Reproducible capital W(t)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Quantum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Total Fertility Rate TFR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Investment rate I/Y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Tempo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Mean age at childbearing MAC(t)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Time-to-build μ(t)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Bongaarts-Feeney adjustment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TFR* = TFR/(1 − r(t))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K*(t) via μ(t)-weighted PIM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Forgotten parameter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Parity-specific σ (Goldstein-Lutz-Scherbov, 2003)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Intangible share β (Corrado-Hulten-Sichel, 2009)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Book-keeping identity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dN/dt = B − d·N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dW/dt = I − δW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Joint identification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TFR* vs. life-table consistency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PIM vs. CWON consistency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