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not special connections: a dependence-aware baseline for archaic-segment sharing across 66 human populations</w:t>
      </w:r>
    </w:p>
    <w:p>
      <w:pPr>
        <w:jc w:val="center"/>
      </w:pPr>
      <w:r>
        <w:rPr>
          <w:b/>
        </w:rPr>
        <w:t>Original Research Article</w:t>
      </w:r>
    </w:p>
    <w:p>
      <w:pPr>
        <w:jc w:val="center"/>
      </w:pPr>
      <w:r>
        <w:rPr>
          <w:b/>
        </w:rPr>
        <w:t>Onishi Tatsuki</w:t>
      </w:r>
    </w:p>
    <w:p>
      <w:pPr>
        <w:jc w:val="center"/>
      </w:pPr>
      <w:r>
        <w:t>Data Science and AI Innovation Research Promotion Center</w:t>
      </w:r>
    </w:p>
    <w:p>
      <w:pPr>
        <w:jc w:val="center"/>
      </w:pPr>
      <w:r>
        <w:t>Onishi Tatsuki, Data Science and AI Innovation Research Promotion Center; Email: bougtoir@gmail.com</w:t>
      </w:r>
    </w:p>
    <w:p>
      <w:pPr>
        <w:jc w:val="center"/>
      </w:pPr>
      <w:r>
        <w:t>Running title: A dependence-aware archaic-sharing baseline</w:t>
      </w:r>
    </w:p>
    <w:p>
      <w:pPr>
        <w:pStyle w:val="Heading1"/>
      </w:pPr>
      <w:r>
        <w:t>Abstract</w:t>
      </w:r>
    </w:p>
    <w:p>
      <w:pPr>
        <w:spacing w:line="360" w:lineRule="auto"/>
      </w:pPr>
      <w:r>
        <w:t>Objectives: Archaic-like segments near focal loci such as the ABO blood-group gene are frequently read as clues to blood-group history, special population connections, or migration routes, yet such readings are rarely tested against a genome-wide baseline that respects the dependence structure of pairwise data. We build a reproducible, dependence-aware baseline for population-level archaic-segment sharing and use it as a negative control for exceptional-connection and focal-locus interpretations. Materials and Methods: High-confidence archaic-introgression calls from 3,134 individuals in 66 populations were obtained using hmmix, a hidden Markov model-based detection method, and summarized in 500-kilobase (kb) windows. Each individual-haplotype-window contributed at most one presence, constraining population frequencies to 0-1. Pearson similarity was calculated for 2,145 population pairs. Distance associations and pair-level residual outliers were evaluated with population-label quadratic assignment permutations and false-discovery-rate control, with sensitivity to window size, similarity metric, sample-size threshold, dataset, zero-distance pairs, and regional omission. Results: Similarity declined with distance for Neanderthal (raw r=-0.497) and Denisovan (raw r=-0.462) profiles; expanded-model partial distance correlations were -0.369 and -0.326, with population-label permutation P values of 0.0001 and 0.0002. No non-admixed pair met both z&gt;2 and false-discovery-rate q&lt;0.10, and a prespecified ABO-window scan yielded no route-level signal. Conclusions: Population-level archaic-segment sharing reflects broad geographic structure, but under dependence-aware inference it supports neither exceptional population pairs nor an ABO-mediated migration narrative. The baseline provides a reusable standard against which focal-locus archaic claims can be evaluated.</w:t>
      </w:r>
    </w:p>
    <w:p>
      <w:r>
        <w:rPr>
          <w:b/>
        </w:rPr>
        <w:t xml:space="preserve">Keywords: </w:t>
      </w:r>
      <w:r>
        <w:t>archaic introgression; Neanderthal; Denisovan; population genetics; geographic distance; quadratic assignment procedure; ABO</w:t>
      </w:r>
    </w:p>
    <w:p>
      <w:r>
        <w:br w:type="page"/>
      </w:r>
    </w:p>
    <w:p>
      <w:pPr>
        <w:pStyle w:val="Heading1"/>
      </w:pPr>
      <w:r>
        <w:t>Introduction</w:t>
      </w:r>
    </w:p>
    <w:p>
      <w:pPr>
        <w:ind w:firstLine="432"/>
      </w:pPr>
      <w:r>
        <w:rPr>
          <w:rFonts w:ascii="Times New Roman" w:hAnsi="Times New Roman"/>
          <w:i w:val="0"/>
          <w:sz w:val="24"/>
        </w:rPr>
        <w:t>Genomic comparisons established gene flow from Neanderthals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These differences invite a recurring style of inference in which shared archaic segments, often at a focal locus such as the ABO blood-group gene, are read as evidence of a special connection between two populations or of a particular migration route (Calafell et al. 2008; Halverson and Bolnick 2008; Condemi et al. 2021).</w:t>
      </w:r>
    </w:p>
    <w:p>
      <w:pPr>
        <w:ind w:firstLine="432"/>
      </w:pPr>
      <w:r>
        <w:rPr>
          <w:rFonts w:ascii="Times New Roman" w:hAnsi="Times New Roman"/>
          <w:i w:val="0"/>
          <w:sz w:val="24"/>
        </w:rPr>
        <w:t>Such claims are difficult to evaluate because pairwise profile similarity is dyadic: each of 66 populations appears in many pair rows, so the 2,145 pairs are not independent observations. Standard row-wise regressions, bootstraps, or response shuffles do not preserve this population-level dependence, and an apparently exceptional pair can arise from broad structure alone. What is generally missing is a genome-wide baseline that constructs population profiles reproducibly, tests distance and pair-level effects under a permutation scheme that respects the dependence structure, and applies explicit multiple-testing control. Quadratic assignment procedures (QAP) permute population labels on a complete matrix and provide exactly this kind of dependence-aware test (Krackhardt 1988; Dekker, Krackhardt, and Snijders 2007).</w:t>
      </w:r>
    </w:p>
    <w:p>
      <w:pPr>
        <w:ind w:firstLine="432"/>
      </w:pPr>
      <w:r>
        <w:rPr>
          <w:rFonts w:ascii="Times New Roman" w:hAnsi="Times New Roman"/>
          <w:i w:val="0"/>
          <w:sz w:val="24"/>
        </w:rPr>
        <w:t>We build such a baseline and treat it as a negative control. Using great-circle distance across 66 populations from the 1000 Genomes Project and Human Genome Diversity Project (HGDP), we test whether Neanderthal- and Denisovan-segment profile similarity declines with distance, whether any population pair is a false-discovery-rate-supported residual outlier, and whether a prespecified interval centered on the ABO blood-group locus, chosen because ABO has an unusually deep allelic history and has motivated founder-effect and archaic-background hypotheses (Segurel et al. 2012; Calafell et al. 2008; Halverson and Bolnick 2008; Condemi et al. 2021), shows anything beyond the genome-wide expectation. Robustness to alternative windows, similarity metrics, sample-size thresholds, datasets, co-located pairs, and regional omission is assessed throughout. The focal ABO analysis is prespecified as exploratory and is not used to infer a migration route.</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analyzed publicly archived segment calls generated with hmmix, a hidden Markov model-based method that detects candidate archaic sequence without requiring an unadmixed modern outgroup (Skov et al. 2018). Segment files for the 1000 Genomes Project and Human Genome Diversity Project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distance per 1,000 km, involvement of one of four designated recently admixed American populations: Puerto Ricans from Puerto Rico (PUR), Colombians from Medellín, Colombia (CLM), people with Mexican ancestry from Los Angeles, United States (MXL), or Peruvians from Lima, Peru (PEL). The model also included same-continent status and same-dataset status. These indicators are coarse sensitivity covariates, not individual ancestry estimates or causal controls. Distance-only models were also fit.</w:t>
      </w:r>
    </w:p>
    <w:p>
      <w:pPr>
        <w:ind w:firstLine="432"/>
      </w:pPr>
      <w:r>
        <w:rPr>
          <w:rFonts w:ascii="Times New Roman" w:hAnsi="Times New Roman"/>
          <w:i w:val="0"/>
          <w:sz w:val="24"/>
        </w:rPr>
        <w:t>Coefficient P values used 9,999 quadratic assignment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modeled using distance, same-continent status, and same-dataset status. Positive residuals were standardized by the residual standard deviation. For every pair, a one-sided nominal P value was calculated from its own residual null distribution across 9,999 population-label permutations. The Benjamini-Hochberg procedure was applied jointly to all non-admixed pairs within each ancestry analysis to control the false discovery rate (FDR) (Benjamini and Hochberg 1995). A supported positive outlier required z&gt;2 and q&lt;0.10.</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summarized from Ensembl/1000 Genomes frequencies and published Solomon Islands frequencies (Ohashi et al. 2006). Ancient-window observations were descriptively extracted from public outputs associated with Iasi et al. (2024); ancient and modern calls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generalized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pStyle w:val="Heading2"/>
      </w:pPr>
      <w:r>
        <w:t>Schematic dispersal context</w:t>
      </w:r>
    </w:p>
    <w:p>
      <w:pPr>
        <w:ind w:firstLine="432"/>
      </w:pPr>
      <w:r>
        <w:rPr>
          <w:rFonts w:ascii="Times New Roman" w:hAnsi="Times New Roman"/>
          <w:i w:val="0"/>
          <w:sz w:val="24"/>
        </w:rPr>
        <w:t>A Minard-style diagram places the analysis within broad dispersal and archaic-introgression contexts (Figure 3). Band widths, branch positions, and event placement are schematic and are not estimates from the present pairwise analysis.</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4 shows the effect of excluding designated recently admixed populations, and Figure 5 shows window-size results at 250 kb, 500 kb, and 1 Mb. These analyses were treated as robustness checks rather than independent confirmatory tests.</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pStyle w:val="Heading2"/>
      </w:pPr>
      <w:r>
        <w:t>Secondary ABO-window observations</w:t>
      </w:r>
    </w:p>
    <w:p>
      <w:pPr>
        <w:ind w:firstLine="432"/>
      </w:pPr>
      <w:r>
        <w:rPr>
          <w:rFonts w:ascii="Times New Roman" w:hAnsi="Times New Roman"/>
          <w:i w:val="0"/>
          <w:sz w:val="24"/>
        </w:rPr>
        <w:t>The 500-kb ABO-centered scan identified 834 Neanderthal or Both source segments, of which 129 overlapped the ABO gene. Of the 834 interval segments, 335 had tied maximum reference similarity and were not forced to a lineage. In the Indigenous American HGDP subset, one Pima segment overlapped ABO and one Maya segment lay downstream within the wider interval. Both were Vindija-closest, but two segments among 41 represented individuals do not support a regional proportion or migration-route inference (Figure 6; Table 2).</w:t>
      </w:r>
    </w:p>
    <w:p>
      <w:pPr>
        <w:pStyle w:val="Heading2"/>
      </w:pPr>
      <w:r>
        <w:t>ABO-related and global contextual figures</w:t>
      </w:r>
    </w:p>
    <w:p>
      <w:pPr>
        <w:ind w:firstLine="432"/>
      </w:pPr>
      <w:r>
        <w:rPr>
          <w:rFonts w:ascii="Times New Roman" w:hAnsi="Times New Roman"/>
          <w:i w:val="0"/>
          <w:sz w:val="24"/>
        </w:rPr>
        <w:t>The O2-defining allele and ABO-window carrier summaries use different sources and are displayed descriptively rather than as an association analysis (Figure 7). The Ancient North Eurasian pathway is retained as a testable contextual hypothesis, not a route inferred from the two Indigenous American segment records (Figure 8). Ancient and modern ABO-window observations were produced by different pipelines and permit no formal temporal comparison (Figure 9). A literature-derived global bivariate map provides broad Neanderthal and Denisovan ancestry context; its approximate values were not used in the statistical models (Figure 10).</w:t>
      </w:r>
    </w:p>
    <w:p>
      <w:pPr>
        <w:pStyle w:val="Heading1"/>
      </w:pPr>
      <w:r>
        <w:t>Discussion</w:t>
      </w:r>
    </w:p>
    <w:p>
      <w:pPr>
        <w:ind w:firstLine="432"/>
      </w:pPr>
      <w:r>
        <w:rPr>
          <w:rFonts w:ascii="Times New Roman" w:hAnsi="Times New Roman"/>
          <w:i w:val="0"/>
          <w:sz w:val="24"/>
        </w:rPr>
        <w:t>After correction of the population-frequency construction, both Neanderthal and Denisovan profile similarities retained negative geographic associations. The result is therefore not an artifact of allowing fragmented segments to contribute repeatedly to the same haplotype-window. The revised estimates are used throughout the manuscript and submission materials.</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Nevertheless, an inferred segment in a 500-kb interval is not an ABO allele, closest-reference similarity is not a transmission path, and the O2-defining variant cannot be labeled Neanderthal-derived from proximity alone. The Pima and Maya observations are individual segment records, not population prevalence estimates.</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In conclusion, population-level archaic-segment profiles show a broad geographic distance-decay pattern under dependence-aware permutation tests, but the same analysis provides no support for an exceptional population pair, an ABO-mediated migration history, or a specific route through Beringia or island Southeast Asia. The contribution is therefore less a new signal than a reproducible, dependence-aware baseline: by combining frequency-constrained profile construction, population-label QAP inference, and explicit false-discovery-rate control, it offers a reusable negative control against which focal-locus and special-connection archaic claims can be judged.</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Data Availability</w:t>
      </w:r>
    </w:p>
    <w:p>
      <w:r>
        <w:t>Analysis scripts, aggregate derived data, figures, and document-generation code are available at https://github.com/bougtoir/denisovan-archaic-dna-analysis and will be fixed as release ajhb-submission-2026-07 before submission. The source hmmix segment calls are available from Zenodo record 14136628 (https://doi.org/10.5281/zenodo.14136628). Raw-file SHA-256 checksums and all analysis parameters are included in analysis_provenance.json.</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generalized to communities, and are not used to assign migration routes. The public article, code, and aggregate derived results are the current means of results availability.</w:t>
      </w:r>
    </w:p>
    <w:p>
      <w:pPr>
        <w:pStyle w:val="Heading1"/>
      </w:pPr>
      <w:r>
        <w:t>Author Contributions</w:t>
      </w:r>
    </w:p>
    <w:p>
      <w:r>
        <w:t>Onishi Tatsuki: Conceptualization, methodology, formal analysis, visualization, writing—original draft, and writing—review and editing.</w:t>
      </w:r>
    </w:p>
    <w:p>
      <w:pPr>
        <w:pStyle w:val="Heading1"/>
      </w:pPr>
      <w:r>
        <w:t>Literature Cited</w:t>
      </w:r>
    </w:p>
    <w:p>
      <w:pPr>
        <w:spacing w:line="276" w:lineRule="auto" w:after="80"/>
        <w:ind w:hanging="360" w:left="360"/>
      </w:pPr>
      <w:r>
        <w:rPr>
          <w:sz w:val="20"/>
        </w:rPr>
        <w:t>1000 Genomes Project Consortium. 2015. “A Global Reference for Human Genetic Variation.” Nature 526 (7571): 68–74. https://doi.org/10.1038/nature15393.</w:t>
      </w:r>
    </w:p>
    <w:p>
      <w:pPr>
        <w:spacing w:line="276" w:lineRule="auto" w:after="80"/>
        <w:ind w:hanging="360" w:left="360"/>
      </w:pPr>
      <w:r>
        <w:rPr>
          <w:sz w:val="20"/>
        </w:rPr>
        <w:t>Benjamini, Yoav, and Yosef Hochberg. 1995. “Controlling the False Discovery Rate: A Practical and Powerful Approach to Multiple Testing.” Journal of the Royal Statistical Society: Series B 57 (1): 289–300. https://doi.org/10.1111/j.2517-6161.1995.tb02031.x.</w:t>
      </w:r>
    </w:p>
    <w:p>
      <w:pPr>
        <w:spacing w:line="276" w:lineRule="auto" w:after="80"/>
        <w:ind w:hanging="360" w:left="360"/>
      </w:pPr>
      <w:r>
        <w:rPr>
          <w:sz w:val="20"/>
        </w:rPr>
        <w:t>Bergström, Anders, Shane A. McCarthy, Ruoyun Hui, et al. 2020. “Insights into Human Genetic Variation and Population History from 929 Diverse Genomes.” Science 367 (6484): eaay5012. https://doi.org/10.1126/science.aay5012.</w:t>
      </w:r>
    </w:p>
    <w:p>
      <w:pPr>
        <w:spacing w:line="276" w:lineRule="auto" w:after="80"/>
        <w:ind w:hanging="360" w:left="360"/>
      </w:pPr>
      <w:r>
        <w:rPr>
          <w:sz w:val="20"/>
        </w:rPr>
        <w:t>Calafell, Francesc, Françoise Roubinet, Antonio Ramirez-Soriano, et al. 2008. “Evolutionary Dynamics of the Human ABO Gene.” Human Genetics 124 (2): 123–35. https://doi.org/10.1007/s00439-008-0530-8.</w:t>
      </w:r>
    </w:p>
    <w:p>
      <w:pPr>
        <w:spacing w:line="276" w:lineRule="auto" w:after="80"/>
        <w:ind w:hanging="360" w:left="360"/>
      </w:pPr>
      <w:r>
        <w:rPr>
          <w:sz w:val="20"/>
        </w:rPr>
        <w:t>Carroll, Stephanie Russo, Ibrahim Garba, Oscar L. Figueroa-Rodríguez, et al. 2020. “The CARE Principles for Indigenous Data Governance.” Data Science Journal 19: 43. https://doi.org/10.5334/dsj-2020-043.</w:t>
      </w:r>
    </w:p>
    <w:p>
      <w:pPr>
        <w:spacing w:line="276" w:lineRule="auto" w:after="80"/>
        <w:ind w:hanging="360" w:left="360"/>
      </w:pPr>
      <w:r>
        <w:rPr>
          <w:sz w:val="20"/>
        </w:rPr>
        <w:t>Claw, Katrina G., Dorothy Lippert, Jessica Bardill, et al. 2018. “A Framework for Enhancing Ethical Genomic Research with Indigenous Communities.” Nature Communications 9: 2957. https://doi.org/10.1038/s41467-018-05188-3.</w:t>
      </w:r>
    </w:p>
    <w:p>
      <w:pPr>
        <w:spacing w:line="276" w:lineRule="auto" w:after="80"/>
        <w:ind w:hanging="360" w:left="360"/>
      </w:pPr>
      <w:r>
        <w:rPr>
          <w:sz w:val="20"/>
        </w:rPr>
        <w:t>Condemi, Silvana, Amandine Mazières, Pascal Faux, et al. 2021. “Blood Groups of Neandertals and Denisova Decrypted.” PLOS ONE 16 (7): e0254175. https://doi.org/10.1371/journal.pone.0254175.</w:t>
      </w:r>
    </w:p>
    <w:p>
      <w:pPr>
        <w:spacing w:line="276" w:lineRule="auto" w:after="80"/>
        <w:ind w:hanging="360" w:left="360"/>
      </w:pPr>
      <w:r>
        <w:rPr>
          <w:sz w:val="20"/>
        </w:rPr>
        <w:t>Dekker, David, David Krackhardt, and Tom A. B. Snijders. 2007. “Sensitivity of MRQAP Tests to Collinearity and Autocorrelation Conditions.” Psychometrika 72: 563–81. https://doi.org/10.1007/s11336-007-9016-1.</w:t>
      </w:r>
    </w:p>
    <w:p>
      <w:pPr>
        <w:spacing w:line="276" w:lineRule="auto" w:after="80"/>
        <w:ind w:hanging="360" w:left="360"/>
      </w:pPr>
      <w:r>
        <w:rPr>
          <w:sz w:val="20"/>
        </w:rPr>
        <w:t>Green, Richard E., Johannes Krause, Adrian W. Briggs, et al. 2010. “A Draft Sequence of the Neandertal Genome.” Science 328 (5979): 710–22. https://doi.org/10.1126/science.1188021.</w:t>
      </w:r>
    </w:p>
    <w:p>
      <w:pPr>
        <w:spacing w:line="276" w:lineRule="auto" w:after="80"/>
        <w:ind w:hanging="360" w:left="360"/>
      </w:pPr>
      <w:r>
        <w:rPr>
          <w:sz w:val="20"/>
        </w:rPr>
        <w:t>Halverson, Melissa S., and Deborah A. Bolnick. 2008. “An Ancient DNA Test of a Founder Effect in Native American ABO Blood Group Frequencies.” American Journal of Physical Anthropology 137 (3): 342–47. https://doi.org/10.1002/ajpa.20887.</w:t>
      </w:r>
    </w:p>
    <w:p>
      <w:pPr>
        <w:spacing w:line="276" w:lineRule="auto" w:after="80"/>
        <w:ind w:hanging="360" w:left="360"/>
      </w:pPr>
      <w:r>
        <w:rPr>
          <w:sz w:val="20"/>
        </w:rPr>
        <w:t>Iasi, Leonardo N. M., Manjusha Chintalapati, Laurits Skov, et al. 2024. “Neanderthal Ancestry through Time: Insights from Genomes of Ancient and Present-Day Humans.” Science 386 (6727): eadq3010. https://doi.org/10.1126/science.adq3010.</w:t>
      </w:r>
    </w:p>
    <w:p>
      <w:pPr>
        <w:spacing w:line="276" w:lineRule="auto" w:after="80"/>
        <w:ind w:hanging="360" w:left="360"/>
      </w:pPr>
      <w:r>
        <w:rPr>
          <w:sz w:val="20"/>
        </w:rPr>
        <w:t>Jacobs, Guy S., Georgi Hudjashov, Lauri Saag, et al. 2019. “Multiple Deeply Divergent Denisovan Ancestries in Papuans.” Cell 177 (4): 1010–21.e32. https://doi.org/10.1016/j.cell.2019.02.035.</w:t>
      </w:r>
    </w:p>
    <w:p>
      <w:pPr>
        <w:spacing w:line="276" w:lineRule="auto" w:after="80"/>
        <w:ind w:hanging="360" w:left="360"/>
      </w:pPr>
      <w:r>
        <w:rPr>
          <w:sz w:val="20"/>
        </w:rPr>
        <w:t>Krackhardt, David. 1988. “Predicting with Networks: Nonparametric Multiple Regression Analysis of Dyadic Data.” Social Networks 10 (4): 359–81. https://doi.org/10.1016/0378-8733(88)90004-4.</w:t>
      </w:r>
    </w:p>
    <w:p>
      <w:pPr>
        <w:spacing w:line="276" w:lineRule="auto" w:after="80"/>
        <w:ind w:hanging="360" w:left="360"/>
      </w:pPr>
      <w:r>
        <w:rPr>
          <w:sz w:val="20"/>
        </w:rPr>
        <w:t>Ohashi, Jun, Izumi Naka, Ryosuke Kimura, et al. 2006. “Polymorphisms in the ABO Blood Group Gene in Three Populations in the New Georgia Group of the Solomon Islands.” Journal of Human Genetics 51 (5): 407–11. https://doi.org/10.1007/s10038-006-0375-8.</w:t>
      </w:r>
    </w:p>
    <w:p>
      <w:pPr>
        <w:spacing w:line="276" w:lineRule="auto" w:after="80"/>
        <w:ind w:hanging="360" w:left="360"/>
      </w:pPr>
      <w:r>
        <w:rPr>
          <w:sz w:val="20"/>
        </w:rPr>
        <w:t>Petr, Martin, Svante Pääbo, Janet Kelso, and Benjamin Vernot. 2019. “Limits of Long-Term Selection against Neandertal Introgression.” Proceedings of the National Academy of Sciences 116 (5): 1639–44. https://doi.org/10.1073/pnas.1814338116.</w:t>
      </w:r>
    </w:p>
    <w:p>
      <w:pPr>
        <w:spacing w:line="276" w:lineRule="auto" w:after="80"/>
        <w:ind w:hanging="360" w:left="360"/>
      </w:pPr>
      <w:r>
        <w:rPr>
          <w:sz w:val="20"/>
        </w:rPr>
        <w:t>Prüfer, Kay, Cesare de Filippo, Steffi Grote, et al. 2017. “A High-Coverage Neandertal Genome from Vindija Cave in Croatia.” Science 358 (6363): 655–58. https://doi.org/10.1126/science.aao1887.</w:t>
      </w:r>
    </w:p>
    <w:p>
      <w:pPr>
        <w:spacing w:line="276" w:lineRule="auto" w:after="80"/>
        <w:ind w:hanging="360" w:left="360"/>
      </w:pPr>
      <w:r>
        <w:rPr>
          <w:sz w:val="20"/>
        </w:rPr>
        <w:t>Quilodran, Claudio S., Julie Rio, Athanasios Tsoupas, and Mathias Currat. 2023. “Past Human Expansions Shaped the Spatial Pattern of Neanderthal Ancestry.” Science Advances 9 (42): eadg9817. https://doi.org/10.1126/sciadv.adg9817.</w:t>
      </w:r>
    </w:p>
    <w:p>
      <w:pPr>
        <w:spacing w:line="276" w:lineRule="auto" w:after="80"/>
        <w:ind w:hanging="360" w:left="360"/>
      </w:pPr>
      <w:r>
        <w:rPr>
          <w:sz w:val="20"/>
        </w:rPr>
        <w:t>Raghavan, Maanasa, Pontus Skoglund, Kelly E. Graf, et al. 2014. “Upper Palaeolithic Siberian Genome Reveals Dual Ancestry of Native Americans.” Nature 505 (7481): 87–91. https://doi.org/10.1038/nature12736.</w:t>
      </w:r>
    </w:p>
    <w:p>
      <w:pPr>
        <w:spacing w:line="276" w:lineRule="auto" w:after="80"/>
        <w:ind w:hanging="360" w:left="360"/>
      </w:pPr>
      <w:r>
        <w:rPr>
          <w:sz w:val="20"/>
        </w:rPr>
        <w:t>Reich, David, Richard E. Green, Martin Kircher, et al. 2010. “Genetic History of an Archaic Hominin Group from Denisova Cave in Siberia.” Nature 468 (7327): 1053–60. https://doi.org/10.1038/nature09710.</w:t>
      </w:r>
    </w:p>
    <w:p>
      <w:pPr>
        <w:spacing w:line="276" w:lineRule="auto" w:after="80"/>
        <w:ind w:hanging="360" w:left="360"/>
      </w:pPr>
      <w:r>
        <w:rPr>
          <w:sz w:val="20"/>
        </w:rPr>
        <w:t>Sankararaman, Sriram, Swapan Mallick, Michael Dannemann, et al. 2014. “The Genomic Landscape of Neanderthal Ancestry in Present-Day Humans.” Nature 507 (7492): 354–57. https://doi.org/10.1038/nature12961.</w:t>
      </w:r>
    </w:p>
    <w:p>
      <w:pPr>
        <w:spacing w:line="276" w:lineRule="auto" w:after="80"/>
        <w:ind w:hanging="360" w:left="360"/>
      </w:pPr>
      <w:r>
        <w:rPr>
          <w:sz w:val="20"/>
        </w:rPr>
        <w:t>Sankararaman, Sriram, Swapan Mallick, Nick Patterson, and David Reich. 2016. “The Combined Landscape of Denisovan and Neanderthal Ancestry in Present-Day Humans.” Current Biology 26 (9): 1241–47. https://doi.org/10.1016/j.cub.2016.03.037.</w:t>
      </w:r>
    </w:p>
    <w:p>
      <w:pPr>
        <w:spacing w:line="276" w:lineRule="auto" w:after="80"/>
        <w:ind w:hanging="360" w:left="360"/>
      </w:pPr>
      <w:r>
        <w:rPr>
          <w:sz w:val="20"/>
        </w:rPr>
        <w:t>Segurel, Laure, Emma E. Thompson, Timothée Flutre, et al. 2012. “The ABO Blood Group Is a Trans-Species Polymorphism in Primates.” Proceedings of the National Academy of Sciences 109 (45): 18493–98. https://doi.org/10.1073/pnas.1210603109.</w:t>
      </w:r>
    </w:p>
    <w:p>
      <w:pPr>
        <w:spacing w:line="276" w:lineRule="auto" w:after="80"/>
        <w:ind w:hanging="360" w:left="360"/>
      </w:pPr>
      <w:r>
        <w:rPr>
          <w:sz w:val="20"/>
        </w:rPr>
        <w:t>Skoglund, Pontus, Swapan Mallick, Maria Cátira Bortolini, et al. 2015. “Genetic Evidence for Two Founding Populations of the Americas.” Nature 525 (7567): 104–8. https://doi.org/10.1038/nature14895.</w:t>
      </w:r>
    </w:p>
    <w:p>
      <w:pPr>
        <w:spacing w:line="276" w:lineRule="auto" w:after="80"/>
        <w:ind w:hanging="360" w:left="360"/>
      </w:pPr>
      <w:r>
        <w:rPr>
          <w:sz w:val="20"/>
        </w:rPr>
        <w:t>Skov, Laurits, Ruoyun Hui, Vladimir Shchur, et al. 2018. “Detecting Archaic Introgression Using an Unadmixed Outgroup.” PLOS Genetics 14 (9): e1007641. https://doi.org/10.1371/journal.pgen.1007641.</w:t>
      </w:r>
    </w:p>
    <w:p>
      <w:pPr>
        <w:pStyle w:val="Heading1"/>
      </w:pPr>
      <w:r>
        <w:t>Figure Legends</w:t>
      </w:r>
    </w:p>
    <w:p>
      <w:pPr>
        <w:spacing w:line="360" w:lineRule="auto" w:after="160"/>
      </w:pPr>
      <w:r>
        <w:rPr>
          <w:b/>
        </w:rPr>
        <w:t xml:space="preserve">Figure 1. </w:t>
      </w:r>
      <w:r>
        <w:t>Archaic-segment profile similarity and geographic distance. Each point is a dependent population pair. Lines are descriptive distance-only fits; reported P values use population-label quadratic assignment permutations.</w:t>
      </w:r>
    </w:p>
    <w:p>
      <w:pPr>
        <w:spacing w:line="360" w:lineRule="auto" w:after="160"/>
      </w:pPr>
      <w:r>
        <w:rPr>
          <w:b/>
        </w:rPr>
        <w:t xml:space="preserve">Figure 2. </w:t>
      </w:r>
      <w:r>
        <w:t>Pairwise archaic-segment profile similarity for 31 prespecified populations. The subset is displayed for legibility; all 66 populations were analyzed.</w:t>
      </w:r>
    </w:p>
    <w:p>
      <w:pPr>
        <w:spacing w:line="360" w:lineRule="auto" w:after="160"/>
      </w:pPr>
      <w:r>
        <w:rPr>
          <w:b/>
        </w:rPr>
        <w:t xml:space="preserve">Figure 3. </w:t>
      </w:r>
      <w:r>
        <w:t>Minard-style schematic of human dispersal and archaic introgression. Band widths, branch positions, and event placement are illustrative and do not estimate migration magnitude, ancestry proportion, or a route supported by the present analysis.</w:t>
      </w:r>
    </w:p>
    <w:p>
      <w:pPr>
        <w:spacing w:line="360" w:lineRule="auto" w:after="160"/>
      </w:pPr>
      <w:r>
        <w:rPr>
          <w:b/>
        </w:rPr>
        <w:t xml:space="preserve">Figure 4. </w:t>
      </w:r>
      <w:r>
        <w:t>Sensitivity of the descriptive Neanderthal distance correlation to exclusion of designated recently admixed populations.</w:t>
      </w:r>
    </w:p>
    <w:p>
      <w:pPr>
        <w:spacing w:line="360" w:lineRule="auto" w:after="160"/>
      </w:pPr>
      <w:r>
        <w:rPr>
          <w:b/>
        </w:rPr>
        <w:t xml:space="preserve">Figure 5. </w:t>
      </w:r>
      <w:r>
        <w:t>Descriptive geographic distance correlations at 250-kb, 500-kb, and 1-Mb window sizes. Quadratic assignment procedure results are tabulated in Supplementary Data.</w:t>
      </w:r>
    </w:p>
    <w:p>
      <w:pPr>
        <w:spacing w:line="360" w:lineRule="auto" w:after="160"/>
      </w:pPr>
      <w:r>
        <w:rPr>
          <w:b/>
        </w:rPr>
        <w:t xml:space="preserve">Figure 6. </w:t>
      </w:r>
      <w:r>
        <w:t>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w:t>
      </w:r>
    </w:p>
    <w:p>
      <w:pPr>
        <w:spacing w:line="360" w:lineRule="auto" w:after="160"/>
      </w:pPr>
      <w:r>
        <w:rPr>
          <w:b/>
        </w:rPr>
        <w:t xml:space="preserve">Figure 7.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8. </w:t>
      </w:r>
      <w:r>
        <w:t>Ancient North Eurasian contextual hypothesis. Dashed arrows represent a testable narrative, not evidence that either observed segment followed the illustrated route.</w:t>
      </w:r>
    </w:p>
    <w:p>
      <w:pPr>
        <w:spacing w:line="360" w:lineRule="auto" w:after="160"/>
      </w:pPr>
      <w:r>
        <w:rPr>
          <w:b/>
        </w:rPr>
        <w:t xml:space="preserve">Figure 9. </w:t>
      </w:r>
      <w:r>
        <w:t>Descriptive ancient and modern ABO-window summaries generated by different pipelines; no formal temporal comparison is made.</w:t>
      </w:r>
    </w:p>
    <w:p>
      <w:pPr>
        <w:spacing w:line="360" w:lineRule="auto" w:after="160"/>
      </w:pPr>
      <w:r>
        <w:rPr>
          <w:b/>
        </w:rPr>
        <w:t xml:space="preserve">Figure 10. </w:t>
      </w:r>
      <w:r>
        <w:t>Literature-derived global context. Circle size represents approximate Neanderthal ancestry and color intensity represents approximate Denisovan ancestry. Values were not used in the pairwise statistical models.</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not special connections: a dependence-aware baseline for archaic-segment sharing across 66 human populations</dc:title>
  <dc:subject/>
  <dc:creator>Onishi Tatsuki</dc:creator>
  <cp:keywords/>
  <dc:description>generated by python-docx</dc:description>
  <cp:lastModifiedBy/>
  <cp:revision>1</cp:revision>
  <dcterms:created xsi:type="dcterms:W3CDTF">2013-12-23T23:15:00Z</dcterms:created>
  <dcterms:modified xsi:type="dcterms:W3CDTF">2013-12-23T23:15:00Z</dcterms:modified>
  <cp:category/>
</cp:coreProperties>
</file>