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not special connections: a dependence-aware baseline for archaic-segment sharing across 66 human populations</w:t>
      </w:r>
    </w:p>
    <w:p>
      <w:pPr>
        <w:jc w:val="center"/>
      </w:pPr>
      <w:r>
        <w:rPr>
          <w:b/>
        </w:rPr>
        <w:t>Original Research Article</w:t>
      </w:r>
    </w:p>
    <w:p>
      <w:pPr>
        <w:jc w:val="center"/>
      </w:pPr>
      <w:r>
        <w:rPr>
          <w:b/>
        </w:rPr>
        <w:t>Onishi Tatsuki</w:t>
      </w:r>
    </w:p>
    <w:p>
      <w:pPr>
        <w:jc w:val="center"/>
      </w:pPr>
      <w:r>
        <w:t>Data Science and AI Innovation Research Promotion Center</w:t>
      </w:r>
    </w:p>
    <w:p>
      <w:pPr>
        <w:jc w:val="center"/>
      </w:pPr>
      <w:r>
        <w:t>Onishi Tatsuki, Data Science and AI Innovation Research Promotion Center; Email: bougtoir@gmail.com</w:t>
      </w:r>
    </w:p>
    <w:p>
      <w:pPr>
        <w:jc w:val="center"/>
      </w:pPr>
      <w:r>
        <w:t>Running title: A dependence-aware archaic-sharing baseline</w:t>
      </w:r>
    </w:p>
    <w:p>
      <w:pPr>
        <w:pStyle w:val="Heading1"/>
      </w:pPr>
      <w:r>
        <w:t>Abstract</w:t>
      </w:r>
    </w:p>
    <w:p>
      <w:pPr>
        <w:spacing w:line="360" w:lineRule="auto"/>
      </w:pPr>
      <w:r>
        <w:t>Objectives: Archaic-like segments near focal loci such as the ABO blood-group gene are frequently read as clues to blood-group history, special population connections, or migration routes, yet such readings are rarely tested against a genome-wide baseline that respects the dependence structure of pairwise data. We build a reproducible, dependence-aware baseline for population-level archaic-segment sharing and use it as a negative control for exceptional-connection and focal-locus interpretations. Materials and Methods: High-confidence archaic-introgression calls from 3,134 individuals in 66 populations were obtained using hmmix, a hidden Markov model-based detection method, and summarized in 500-kilobase (kb) windows. Each individual-haplotype-window contributed at most one presence, constraining population frequencies to 0-1. Pearson similarity was calculated for 2,145 population pairs. Distance associations and pair-level residual outliers were evaluated with population-label quadratic assignment permutations and false-discovery-rate control, with sensitivity to window size, similarity metric, sample-size threshold, dataset, zero-distance pairs, and regional omission. Results: Similarity declined with distance for Neanderthal (raw r=-0.497) and Denisovan (raw r=-0.462) profiles; expanded-model partial distance correlations were -0.369 and -0.326, with population-label permutation P values of 0.0001 and 0.0002. No non-admixed pair met both z&gt;2 and false-discovery-rate q&lt;0.10, and a prespecified ABO-window scan yielded no route-level signal. Conclusions: Population-level archaic-segment sharing reflects broad geographic structure, but under dependence-aware inference it supports neither exceptional population pairs nor an ABO-mediated migration narrative. The baseline provides a reusable standard against which focal-locus archaic claims can be evaluated.</w:t>
      </w:r>
    </w:p>
    <w:p>
      <w:r>
        <w:rPr>
          <w:b/>
        </w:rPr>
        <w:t xml:space="preserve">Keywords: </w:t>
      </w:r>
      <w:r>
        <w:t>archaic introgression; Neanderthal; Denisovan; population genetics; geographic distance; quadratic assignment procedure; ABO</w:t>
      </w:r>
    </w:p>
    <w:p>
      <w:r>
        <w:br w:type="page"/>
      </w:r>
    </w:p>
    <w:p>
      <w:pPr>
        <w:pStyle w:val="Heading1"/>
      </w:pPr>
      <w:r>
        <w:t>Introduction</w:t>
      </w:r>
    </w:p>
    <w:p>
      <w:pPr>
        <w:ind w:firstLine="432"/>
      </w:pPr>
      <w:r>
        <w:rPr>
          <w:rFonts w:ascii="Times New Roman" w:hAnsi="Times New Roman"/>
          <w:i w:val="0"/>
          <w:sz w:val="24"/>
        </w:rPr>
        <w:t>Genomic comparisons established gene flow from Neanderthals and Denisovans into ancestors of present-day populations outside Africa (Green et al. 2010; Reich et al. 2010). The amount and genomic distribution of introgressed sequence vary among populations because of demographic history, drift, selection, and multiple introgression histories (Sankararaman et al. 2014; Sankararaman et al. 2016; Jacobs et al. 2019). These differences invite a recurring style of inference in which shared archaic segments, often at a focal locus such as the ABO blood-group gene, are read as evidence of a special connection between two populations or of a particular migration route (Calafell et al. 2008; Halverson and Bolnick 2008; Condemi et al. 2021).</w:t>
      </w:r>
    </w:p>
    <w:p>
      <w:pPr>
        <w:ind w:firstLine="432"/>
      </w:pPr>
      <w:r>
        <w:rPr>
          <w:rFonts w:ascii="Times New Roman" w:hAnsi="Times New Roman"/>
          <w:i w:val="0"/>
          <w:sz w:val="24"/>
        </w:rPr>
        <w:t>Such claims are difficult to evaluate because pairwise profile similarity is dyadic: each of 66 populations appears in many pair rows, so the 2,145 pairs are not independent observations. Standard row-wise regressions, bootstraps, or response shuffles do not preserve this population-level dependence, and an apparently exceptional pair can arise from broad structure alone. What is generally missing is a genome-wide baseline that constructs population profiles reproducibly, tests distance and pair-level effects under a permutation scheme that respects the dependence structure, and applies explicit multiple-testing control. Quadratic assignment procedures (QAP) permute population labels on a complete matrix and provide exactly this kind of dependence-aware test (Krackhardt 1988; Dekker, Krackhardt, and Snijders 2007).</w:t>
      </w:r>
    </w:p>
    <w:p>
      <w:pPr>
        <w:ind w:firstLine="432"/>
      </w:pPr>
      <w:r>
        <w:rPr>
          <w:rFonts w:ascii="Times New Roman" w:hAnsi="Times New Roman"/>
          <w:i w:val="0"/>
          <w:sz w:val="24"/>
        </w:rPr>
        <w:t>We build such a baseline and treat it as a negative control. Using great-circle distance across 66 populations from the 1000 Genomes Project and Human Genome Diversity Project (HGDP), we test whether Neanderthal- and Denisovan-segment profile similarity declines with distance, whether any population pair is a false-discovery-rate-supported residual outlier, and whether a prespecified interval centered on the ABO blood-group locus, chosen because ABO has an unusually deep allelic history and has motivated founder-effect and archaic-background hypotheses (Segurel et al. 2012; Calafell et al. 2008; Halverson and Bolnick 2008; Condemi et al. 2021), shows anything beyond the genome-wide expectation. Robustness to alternative windows, similarity metrics, sample-size thresholds, datasets, co-located pairs, and regional omission is assessed throughout. The focal ABO analysis is prespecified as exploratory and is not used to infer a migration route.</w:t>
      </w:r>
    </w:p>
    <w:p>
      <w:pPr>
        <w:pStyle w:val="Heading1"/>
      </w:pPr>
      <w:r>
        <w:t>Materials and Methods</w:t>
      </w:r>
    </w:p>
    <w:p>
      <w:pPr>
        <w:pStyle w:val="Heading2"/>
      </w:pPr>
      <w:r>
        <w:t>Data sources and population inclusion</w:t>
      </w:r>
    </w:p>
    <w:p>
      <w:pPr>
        <w:ind w:firstLine="432"/>
      </w:pPr>
      <w:r>
        <w:rPr>
          <w:rFonts w:ascii="Times New Roman" w:hAnsi="Times New Roman"/>
          <w:i w:val="0"/>
          <w:sz w:val="24"/>
        </w:rPr>
        <w:t>We analyzed publicly archived segment calls generated with hmmix, a hidden Markov model-based method that detects candidate archaic sequence without requiring an unadmixed modern outgroup (Skov et al. 2018). Segment files for the 1000 Genomes Project and Human Genome Diversity Project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distance per 1,000 km, involvement of one of four designated recently admixed American populations: Puerto Ricans from Puerto Rico (PUR), Colombians from Medellín, Colombia (CLM), people with Mexican ancestry from Los Angeles, United States (MXL), or Peruvians from Lima, Peru (PEL). The model also included same-continent status and same-dataset status. These indicators are coarse sensitivity covariates, not individual ancestry estimates or causal controls. Distance-only models were also fit.</w:t>
      </w:r>
    </w:p>
    <w:p>
      <w:pPr>
        <w:ind w:firstLine="432"/>
      </w:pPr>
      <w:r>
        <w:rPr>
          <w:rFonts w:ascii="Times New Roman" w:hAnsi="Times New Roman"/>
          <w:i w:val="0"/>
          <w:sz w:val="24"/>
        </w:rPr>
        <w:t>Coefficient P values used 9,999 quadratic assignment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modeled using distance, same-continent status, and same-dataset status. Positive residuals were standardized by the residual standard deviation. For every pair, a one-sided nominal P value was calculated from its own residual null distribution across 9,999 population-label permutations. The Benjamini-Hochberg procedure was applied jointly to all non-admixed pairs within each ancestry analysis to control the false discovery rate (FDR) (Benjamini and Hochberg 1995). A supported positive outlier required z&gt;2 and q&lt;0.10.</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summarized from Ensembl/1000 Genomes frequencies and published Solomon Islands frequencies (Ohashi et al. 2006). Ancient-window observations were descriptively extracted from public outputs associated with Iasi et al. (2024); ancient and modern calls were not directly compared statistically.</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generalized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Data-validity correction</w:t>
      </w:r>
    </w:p>
    <w:p>
      <w:pPr>
        <w:ind w:firstLine="432"/>
      </w:pPr>
      <w:r>
        <w:rPr>
          <w:rFonts w:ascii="Times New Roman" w:hAnsi="Times New Roman"/>
          <w:i w:val="0"/>
          <w:sz w:val="24"/>
        </w:rPr>
        <w:t>Collapsing fragmented segments at the individual-haplotype-window level removed duplicate contributions that could otherwise make a nominal frequency exceed 1. In the rebuilt profiles, the maximum frequency was 1.0 for both ancestry categories and no population-window frequency exceeded 1. The analysis retained 66 populations, 3,134 individuals, and 2,145 unique population pairs.</w:t>
      </w:r>
    </w:p>
    <w:p>
      <w:pPr>
        <w:pStyle w:val="Heading2"/>
      </w:pPr>
      <w:r>
        <w:t>Geographic distance decay</w:t>
      </w:r>
    </w:p>
    <w:p>
      <w:pPr>
        <w:ind w:firstLine="432"/>
      </w:pPr>
      <w:r>
        <w:rPr>
          <w:rFonts w:ascii="Times New Roman" w:hAnsi="Times New Roman"/>
          <w:i w:val="0"/>
          <w:sz w:val="24"/>
        </w:rPr>
        <w:t>Neanderthal profile similarity declined with distance (raw r=-0.497); the corresponding Denisovan correlation was -0.462. Partial distance correlations from the expanded descriptive models were -0.369 and -0.326. Distance-only R-squared values were 0.247 and 0.213; expanded-model values were 0.546 and 0.511. The QAP distance coefficients per 1,000 km were -0.01892 (P=0.0001) and -0.01918 (P=0.0002) (Figure 1).</w:t>
      </w:r>
    </w:p>
    <w:p>
      <w:pPr>
        <w:spacing w:before="320"/>
        <w:jc w:val="center"/>
      </w:pPr>
      <w:r>
        <w:drawing>
          <wp:inline xmlns:a="http://schemas.openxmlformats.org/drawingml/2006/main" xmlns:pic="http://schemas.openxmlformats.org/drawingml/2006/picture">
            <wp:extent cx="5806440" cy="2714541"/>
            <wp:docPr id="1" name="Picture 1"/>
            <wp:cNvGraphicFramePr>
              <a:graphicFrameLocks noChangeAspect="1"/>
            </wp:cNvGraphicFramePr>
            <a:graphic>
              <a:graphicData uri="http://schemas.openxmlformats.org/drawingml/2006/picture">
                <pic:pic>
                  <pic:nvPicPr>
                    <pic:cNvPr id="0" name="fig1_sharing_vs_distance.png"/>
                    <pic:cNvPicPr/>
                  </pic:nvPicPr>
                  <pic:blipFill>
                    <a:blip r:embed="rId9"/>
                    <a:stretch>
                      <a:fillRect/>
                    </a:stretch>
                  </pic:blipFill>
                  <pic:spPr>
                    <a:xfrm>
                      <a:off x="0" y="0"/>
                      <a:ext cx="5806440" cy="2714541"/>
                    </a:xfrm>
                    <a:prstGeom prst="rect"/>
                  </pic:spPr>
                </pic:pic>
              </a:graphicData>
            </a:graphic>
          </wp:inline>
        </w:drawing>
      </w:r>
    </w:p>
    <w:p>
      <w:pPr>
        <w:spacing w:before="200" w:line="276" w:lineRule="auto"/>
      </w:pPr>
      <w:r>
        <w:rPr>
          <w:b/>
        </w:rPr>
        <w:t xml:space="preserve">Figure 1. </w:t>
      </w:r>
      <w:r>
        <w:t>Archaic-segment profile similarity and geographic distance. Each point is a dependent population pair. Lines are descriptive distance-only fits; reported P values use population-label quadratic assignment permutations.</w:t>
      </w:r>
    </w:p>
    <w:p>
      <w:pPr>
        <w:pStyle w:val="Heading2"/>
      </w:pPr>
      <w:r>
        <w:t>Population structure</w:t>
      </w:r>
    </w:p>
    <w:p>
      <w:pPr>
        <w:ind w:firstLine="432"/>
      </w:pPr>
      <w:r>
        <w:rPr>
          <w:rFonts w:ascii="Times New Roman" w:hAnsi="Times New Roman"/>
          <w:i w:val="0"/>
          <w:sz w:val="24"/>
        </w:rPr>
        <w:t>The representative heat maps showed broad regional blocks and a stronger Oceanian contrast in the Denisovan profile (Figure 2). The complete 66-population heat map is provided as Figure S1.</w:t>
      </w:r>
    </w:p>
    <w:p>
      <w:pPr>
        <w:spacing w:before="320"/>
        <w:jc w:val="center"/>
      </w:pPr>
      <w:r>
        <w:drawing>
          <wp:inline xmlns:a="http://schemas.openxmlformats.org/drawingml/2006/main" xmlns:pic="http://schemas.openxmlformats.org/drawingml/2006/picture">
            <wp:extent cx="5806440" cy="2695784"/>
            <wp:docPr id="2" name="Picture 2"/>
            <wp:cNvGraphicFramePr>
              <a:graphicFrameLocks noChangeAspect="1"/>
            </wp:cNvGraphicFramePr>
            <a:graphic>
              <a:graphicData uri="http://schemas.openxmlformats.org/drawingml/2006/picture">
                <pic:pic>
                  <pic:nvPicPr>
                    <pic:cNvPr id="0" name="fig2_sharing_heatmap.png"/>
                    <pic:cNvPicPr/>
                  </pic:nvPicPr>
                  <pic:blipFill>
                    <a:blip r:embed="rId10"/>
                    <a:stretch>
                      <a:fillRect/>
                    </a:stretch>
                  </pic:blipFill>
                  <pic:spPr>
                    <a:xfrm>
                      <a:off x="0" y="0"/>
                      <a:ext cx="5806440" cy="2695784"/>
                    </a:xfrm>
                    <a:prstGeom prst="rect"/>
                  </pic:spPr>
                </pic:pic>
              </a:graphicData>
            </a:graphic>
          </wp:inline>
        </w:drawing>
      </w:r>
    </w:p>
    <w:p>
      <w:pPr>
        <w:spacing w:before="200" w:line="276" w:lineRule="auto"/>
      </w:pPr>
      <w:r>
        <w:rPr>
          <w:b/>
        </w:rPr>
        <w:t xml:space="preserve">Figure 2. </w:t>
      </w:r>
      <w:r>
        <w:t>Pairwise archaic-segment profile similarity for 31 prespecified populations. The subset is displayed for legibility; all 66 populations were analyzed.</w:t>
      </w:r>
    </w:p>
    <w:p>
      <w:pPr>
        <w:pStyle w:val="Heading2"/>
      </w:pPr>
      <w:r>
        <w:t>Schematic dispersal context</w:t>
      </w:r>
    </w:p>
    <w:p>
      <w:pPr>
        <w:ind w:firstLine="432"/>
      </w:pPr>
      <w:r>
        <w:rPr>
          <w:rFonts w:ascii="Times New Roman" w:hAnsi="Times New Roman"/>
          <w:i w:val="0"/>
          <w:sz w:val="24"/>
        </w:rPr>
        <w:t>A Minard-style diagram places the analysis within broad dispersal and archaic-introgression contexts (Figure 3). Band widths, branch positions, and event placement are schematic and are not estimates from the present pairwise analysis.</w:t>
      </w:r>
    </w:p>
    <w:p>
      <w:pPr>
        <w:spacing w:before="320"/>
        <w:jc w:val="center"/>
      </w:pPr>
      <w:r>
        <w:drawing>
          <wp:inline xmlns:a="http://schemas.openxmlformats.org/drawingml/2006/main" xmlns:pic="http://schemas.openxmlformats.org/drawingml/2006/picture">
            <wp:extent cx="5806440" cy="3179543"/>
            <wp:docPr id="3" name="Picture 3"/>
            <wp:cNvGraphicFramePr>
              <a:graphicFrameLocks noChangeAspect="1"/>
            </wp:cNvGraphicFramePr>
            <a:graphic>
              <a:graphicData uri="http://schemas.openxmlformats.org/drawingml/2006/picture">
                <pic:pic>
                  <pic:nvPicPr>
                    <pic:cNvPr id="0" name="fig3_minard_migration.png"/>
                    <pic:cNvPicPr/>
                  </pic:nvPicPr>
                  <pic:blipFill>
                    <a:blip r:embed="rId11"/>
                    <a:stretch>
                      <a:fillRect/>
                    </a:stretch>
                  </pic:blipFill>
                  <pic:spPr>
                    <a:xfrm>
                      <a:off x="0" y="0"/>
                      <a:ext cx="5806440" cy="3179543"/>
                    </a:xfrm>
                    <a:prstGeom prst="rect"/>
                  </pic:spPr>
                </pic:pic>
              </a:graphicData>
            </a:graphic>
          </wp:inline>
        </w:drawing>
      </w:r>
    </w:p>
    <w:p>
      <w:pPr>
        <w:spacing w:before="200" w:line="276" w:lineRule="auto"/>
      </w:pPr>
      <w:r>
        <w:rPr>
          <w:b/>
        </w:rPr>
        <w:t xml:space="preserve">Figure 3. </w:t>
      </w:r>
      <w:r>
        <w:t>Minard-style schematic of human dispersal and archaic introgression. Band widths, branch positions, and event placement are illustrative and do not estimate migration magnitude, ancestry proportion, or a route supported by the present analysis.</w:t>
      </w:r>
    </w:p>
    <w:p>
      <w:pPr>
        <w:pStyle w:val="Heading2"/>
      </w:pPr>
      <w:r>
        <w:t>Robustness analyses</w:t>
      </w:r>
    </w:p>
    <w:p>
      <w:pPr>
        <w:ind w:firstLine="432"/>
      </w:pPr>
      <w:r>
        <w:rPr>
          <w:rFonts w:ascii="Times New Roman" w:hAnsi="Times New Roman"/>
          <w:i w:val="0"/>
          <w:sz w:val="24"/>
        </w:rPr>
        <w:t>Negative distance correlations were examined across admixture exclusions, within-dataset subsets, minimum sample sizes, and regional omissions. Figure 4 shows the effect of excluding designated recently admixed populations, and Figure 5 shows window-size results at 250 kb, 500 kb, and 1 Mb. These analyses were treated as robustness checks rather than independent confirmatory tests.</w:t>
      </w:r>
    </w:p>
    <w:p>
      <w:pPr>
        <w:spacing w:before="320"/>
        <w:jc w:val="center"/>
      </w:pPr>
      <w:r>
        <w:drawing>
          <wp:inline xmlns:a="http://schemas.openxmlformats.org/drawingml/2006/main" xmlns:pic="http://schemas.openxmlformats.org/drawingml/2006/picture">
            <wp:extent cx="5806440" cy="3440471"/>
            <wp:docPr id="4" name="Picture 4"/>
            <wp:cNvGraphicFramePr>
              <a:graphicFrameLocks noChangeAspect="1"/>
            </wp:cNvGraphicFramePr>
            <a:graphic>
              <a:graphicData uri="http://schemas.openxmlformats.org/drawingml/2006/picture">
                <pic:pic>
                  <pic:nvPicPr>
                    <pic:cNvPr id="0" name="fig4_sensitivity_admixed.png"/>
                    <pic:cNvPicPr/>
                  </pic:nvPicPr>
                  <pic:blipFill>
                    <a:blip r:embed="rId12"/>
                    <a:stretch>
                      <a:fillRect/>
                    </a:stretch>
                  </pic:blipFill>
                  <pic:spPr>
                    <a:xfrm>
                      <a:off x="0" y="0"/>
                      <a:ext cx="5806440" cy="3440471"/>
                    </a:xfrm>
                    <a:prstGeom prst="rect"/>
                  </pic:spPr>
                </pic:pic>
              </a:graphicData>
            </a:graphic>
          </wp:inline>
        </w:drawing>
      </w:r>
    </w:p>
    <w:p>
      <w:pPr>
        <w:spacing w:before="200" w:line="276" w:lineRule="auto"/>
      </w:pPr>
      <w:r>
        <w:rPr>
          <w:b/>
        </w:rPr>
        <w:t xml:space="preserve">Figure 4. </w:t>
      </w:r>
      <w:r>
        <w:t>Sensitivity of the descriptive Neanderthal distance correlation to exclusion of designated recently admixed populations.</w:t>
      </w:r>
    </w:p>
    <w:p>
      <w:pPr>
        <w:spacing w:before="320"/>
        <w:jc w:val="center"/>
      </w:pPr>
      <w:r>
        <w:drawing>
          <wp:inline xmlns:a="http://schemas.openxmlformats.org/drawingml/2006/main" xmlns:pic="http://schemas.openxmlformats.org/drawingml/2006/picture">
            <wp:extent cx="5806440" cy="3705395"/>
            <wp:docPr id="5" name="Picture 5"/>
            <wp:cNvGraphicFramePr>
              <a:graphicFrameLocks noChangeAspect="1"/>
            </wp:cNvGraphicFramePr>
            <a:graphic>
              <a:graphicData uri="http://schemas.openxmlformats.org/drawingml/2006/picture">
                <pic:pic>
                  <pic:nvPicPr>
                    <pic:cNvPr id="0" name="fig5_window_sensitivity.png"/>
                    <pic:cNvPicPr/>
                  </pic:nvPicPr>
                  <pic:blipFill>
                    <a:blip r:embed="rId13"/>
                    <a:stretch>
                      <a:fillRect/>
                    </a:stretch>
                  </pic:blipFill>
                  <pic:spPr>
                    <a:xfrm>
                      <a:off x="0" y="0"/>
                      <a:ext cx="5806440" cy="3705395"/>
                    </a:xfrm>
                    <a:prstGeom prst="rect"/>
                  </pic:spPr>
                </pic:pic>
              </a:graphicData>
            </a:graphic>
          </wp:inline>
        </w:drawing>
      </w:r>
    </w:p>
    <w:p>
      <w:pPr>
        <w:spacing w:before="200" w:line="276" w:lineRule="auto"/>
      </w:pPr>
      <w:r>
        <w:rPr>
          <w:b/>
        </w:rPr>
        <w:t xml:space="preserve">Figure 5. </w:t>
      </w:r>
      <w:r>
        <w:t>Descriptive geographic distance correlations at 250-kb, 500-kb, and 1-Mb window sizes. Quadratic assignment procedure results are tabulated in Supplementary Data.</w:t>
      </w:r>
    </w:p>
    <w:p>
      <w:pPr>
        <w:pStyle w:val="Heading2"/>
      </w:pPr>
      <w:r>
        <w:t>Residual outlier testing</w:t>
      </w:r>
    </w:p>
    <w:p>
      <w:pPr>
        <w:ind w:firstLine="432"/>
      </w:pPr>
      <w:r>
        <w:rPr>
          <w:rFonts w:ascii="Times New Roman" w:hAnsi="Times New Roman"/>
          <w:i w:val="0"/>
          <w:sz w:val="24"/>
        </w:rPr>
        <w:t>No non-admixed pair met both the positive-residual z&gt;2 criterion and Benjamini-Hochberg q&lt;0.10 for either ancestry category. Nominal residual ranks are retained in the full pairwise data table for auditability but are not interpreted as statistically supported population connections (Table 1).</w:t>
      </w:r>
    </w:p>
    <w:p>
      <w:pPr>
        <w:spacing w:before="280"/>
      </w:pPr>
      <w:r>
        <w:rPr>
          <w:b/>
        </w:rPr>
        <w:t>Table 1. Positive-residual Neanderthal pairs after false discovery rate control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fill="D9EAF7"/>
          </w:tcPr>
          <w:p>
            <w:pPr>
              <w:spacing w:line="240" w:lineRule="auto"/>
            </w:pPr>
            <w:r>
              <w:rPr>
                <w:rFonts w:ascii="Arial" w:hAnsi="Arial"/>
                <w:b/>
                <w:sz w:val="17"/>
              </w:rPr>
              <w:t>Population 1</w:t>
            </w:r>
          </w:p>
        </w:tc>
        <w:tc>
          <w:tcPr>
            <w:tcW w:type="dxa" w:w="1337"/>
            <w:shd w:fill="D9EAF7"/>
          </w:tcPr>
          <w:p>
            <w:pPr>
              <w:spacing w:line="240" w:lineRule="auto"/>
            </w:pPr>
            <w:r>
              <w:rPr>
                <w:rFonts w:ascii="Arial" w:hAnsi="Arial"/>
                <w:b/>
                <w:sz w:val="17"/>
              </w:rPr>
              <w:t>Population 2</w:t>
            </w:r>
          </w:p>
        </w:tc>
        <w:tc>
          <w:tcPr>
            <w:tcW w:type="dxa" w:w="1337"/>
            <w:shd w:fill="D9EAF7"/>
          </w:tcPr>
          <w:p>
            <w:pPr>
              <w:spacing w:line="240" w:lineRule="auto"/>
            </w:pPr>
            <w:r>
              <w:rPr>
                <w:rFonts w:ascii="Arial" w:hAnsi="Arial"/>
                <w:b/>
                <w:sz w:val="17"/>
              </w:rPr>
              <w:t>Region 1</w:t>
            </w:r>
          </w:p>
        </w:tc>
        <w:tc>
          <w:tcPr>
            <w:tcW w:type="dxa" w:w="1337"/>
            <w:shd w:fill="D9EAF7"/>
          </w:tcPr>
          <w:p>
            <w:pPr>
              <w:spacing w:line="240" w:lineRule="auto"/>
            </w:pPr>
            <w:r>
              <w:rPr>
                <w:rFonts w:ascii="Arial" w:hAnsi="Arial"/>
                <w:b/>
                <w:sz w:val="17"/>
              </w:rPr>
              <w:t>Region 2</w:t>
            </w:r>
          </w:p>
        </w:tc>
        <w:tc>
          <w:tcPr>
            <w:tcW w:type="dxa" w:w="1337"/>
            <w:shd w:fill="D9EAF7"/>
          </w:tcPr>
          <w:p>
            <w:pPr>
              <w:spacing w:line="240" w:lineRule="auto"/>
            </w:pPr>
            <w:r>
              <w:rPr>
                <w:rFonts w:ascii="Arial" w:hAnsi="Arial"/>
                <w:b/>
                <w:sz w:val="17"/>
              </w:rPr>
              <w:t>Distance (km)</w:t>
            </w:r>
          </w:p>
        </w:tc>
        <w:tc>
          <w:tcPr>
            <w:tcW w:type="dxa" w:w="1337"/>
            <w:shd w:fill="D9EAF7"/>
          </w:tcPr>
          <w:p>
            <w:pPr>
              <w:spacing w:line="240" w:lineRule="auto"/>
            </w:pPr>
            <w:r>
              <w:rPr>
                <w:rFonts w:ascii="Arial" w:hAnsi="Arial"/>
                <w:b/>
                <w:sz w:val="17"/>
              </w:rPr>
              <w:t>Sharing (r)</w:t>
            </w:r>
          </w:p>
        </w:tc>
        <w:tc>
          <w:tcPr>
            <w:tcW w:type="dxa" w:w="1337"/>
            <w:shd w:fill="D9EAF7"/>
          </w:tcPr>
          <w:p>
            <w:pPr>
              <w:spacing w:line="240" w:lineRule="auto"/>
            </w:pPr>
            <w:r>
              <w:rPr>
                <w:rFonts w:ascii="Arial" w:hAnsi="Arial"/>
                <w:b/>
                <w:sz w:val="17"/>
              </w:rPr>
              <w:t>z-score</w:t>
            </w:r>
          </w:p>
        </w:tc>
      </w:tr>
      <w:tr>
        <w:tc>
          <w:tcPr>
            <w:tcW w:type="dxa" w:w="1337"/>
          </w:tcPr>
          <w:p>
            <w:pPr>
              <w:spacing w:line="240" w:lineRule="auto"/>
            </w:pPr>
            <w:r>
              <w:rPr>
                <w:rFonts w:ascii="Arial" w:hAnsi="Arial"/>
                <w:b w:val="0"/>
                <w:sz w:val="17"/>
              </w:rPr>
              <w:t>No qualifying pair</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w:t>
            </w:r>
          </w:p>
        </w:tc>
        <w:tc>
          <w:tcPr>
            <w:tcW w:type="dxa" w:w="1337"/>
          </w:tcPr>
          <w:p>
            <w:pPr>
              <w:spacing w:line="240" w:lineRule="auto"/>
            </w:pPr>
            <w:r>
              <w:rPr>
                <w:rFonts w:ascii="Arial" w:hAnsi="Arial"/>
                <w:b w:val="0"/>
                <w:sz w:val="17"/>
              </w:rPr>
              <w:t>No z&gt;2 and q&lt;0.10 result</w:t>
            </w:r>
          </w:p>
        </w:tc>
      </w:tr>
    </w:tbl>
    <w:p>
      <w:pPr>
        <w:spacing w:line="240" w:lineRule="auto"/>
      </w:pPr>
      <w:r>
        <w:rPr>
          <w:sz w:val="18"/>
        </w:rPr>
        <w:t>Note. The prespecified family contains all non-admixed population pairs. No pair met both z&gt;2 and Benjamini-Hochberg q&lt;0.10; the Denisovan analysis likewise identified no qualifying pair. Complete nominal rankings and dependence-aware model results are provided in Supplementary Data.</w:t>
      </w:r>
    </w:p>
    <w:p>
      <w:pPr>
        <w:pStyle w:val="Heading2"/>
      </w:pPr>
      <w:r>
        <w:t>Secondary ABO-window observations</w:t>
      </w:r>
    </w:p>
    <w:p>
      <w:pPr>
        <w:ind w:firstLine="432"/>
      </w:pPr>
      <w:r>
        <w:rPr>
          <w:rFonts w:ascii="Times New Roman" w:hAnsi="Times New Roman"/>
          <w:i w:val="0"/>
          <w:sz w:val="24"/>
        </w:rPr>
        <w:t>The 500-kb ABO-centered scan identified 834 Neanderthal or Both source segments, of which 129 overlapped the ABO gene. Of the 834 interval segments, 335 had tied maximum reference similarity and were not forced to a lineage. In the Indigenous American HGDP subset, one Pima segment overlapped ABO and one Maya segment lay downstream within the wider interval. Both were Vindija-closest, but two segments among 41 represented individuals do not support a regional proportion or migration-route inference (Figure 6; Table 2).</w:t>
      </w:r>
    </w:p>
    <w:p>
      <w:pPr>
        <w:spacing w:before="320"/>
        <w:jc w:val="center"/>
      </w:pPr>
      <w:r>
        <w:drawing>
          <wp:inline xmlns:a="http://schemas.openxmlformats.org/drawingml/2006/main" xmlns:pic="http://schemas.openxmlformats.org/drawingml/2006/picture">
            <wp:extent cx="5806440" cy="2332323"/>
            <wp:docPr id="6" name="Picture 6"/>
            <wp:cNvGraphicFramePr>
              <a:graphicFrameLocks noChangeAspect="1"/>
            </wp:cNvGraphicFramePr>
            <a:graphic>
              <a:graphicData uri="http://schemas.openxmlformats.org/drawingml/2006/picture">
                <pic:pic>
                  <pic:nvPicPr>
                    <pic:cNvPr id="0" name="fig5_abo_sublineage.png"/>
                    <pic:cNvPicPr/>
                  </pic:nvPicPr>
                  <pic:blipFill>
                    <a:blip r:embed="rId14"/>
                    <a:stretch>
                      <a:fillRect/>
                    </a:stretch>
                  </pic:blipFill>
                  <pic:spPr>
                    <a:xfrm>
                      <a:off x="0" y="0"/>
                      <a:ext cx="5806440" cy="2332323"/>
                    </a:xfrm>
                    <a:prstGeom prst="rect"/>
                  </pic:spPr>
                </pic:pic>
              </a:graphicData>
            </a:graphic>
          </wp:inline>
        </w:drawing>
      </w:r>
    </w:p>
    <w:p>
      <w:pPr>
        <w:spacing w:before="200" w:line="276" w:lineRule="auto"/>
      </w:pPr>
      <w:r>
        <w:rPr>
          <w:b/>
        </w:rPr>
        <w:t xml:space="preserve">Figure 6. </w:t>
      </w:r>
      <w:r>
        <w:t>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w:t>
      </w:r>
    </w:p>
    <w:p>
      <w:pPr>
        <w:spacing w:before="280"/>
      </w:pPr>
      <w:r>
        <w:rPr>
          <w:b/>
        </w:rPr>
        <w:t>Table 2. ABO-window Neanderthal-reference composition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fill="D9EAF7"/>
          </w:tcPr>
          <w:p>
            <w:pPr>
              <w:spacing w:line="240" w:lineRule="auto"/>
            </w:pPr>
            <w:r>
              <w:rPr>
                <w:rFonts w:ascii="Arial" w:hAnsi="Arial"/>
                <w:b/>
                <w:sz w:val="17"/>
              </w:rPr>
              <w:t>Region</w:t>
            </w:r>
          </w:p>
        </w:tc>
        <w:tc>
          <w:tcPr>
            <w:tcW w:type="dxa" w:w="1872"/>
            <w:shd w:fill="D9EAF7"/>
          </w:tcPr>
          <w:p>
            <w:pPr>
              <w:spacing w:line="240" w:lineRule="auto"/>
            </w:pPr>
            <w:r>
              <w:rPr>
                <w:rFonts w:ascii="Arial" w:hAnsi="Arial"/>
                <w:b/>
                <w:sz w:val="17"/>
              </w:rPr>
              <w:t>n</w:t>
            </w:r>
          </w:p>
        </w:tc>
        <w:tc>
          <w:tcPr>
            <w:tcW w:type="dxa" w:w="1872"/>
            <w:shd w:fill="D9EAF7"/>
          </w:tcPr>
          <w:p>
            <w:pPr>
              <w:spacing w:line="240" w:lineRule="auto"/>
            </w:pPr>
            <w:r>
              <w:rPr>
                <w:rFonts w:ascii="Arial" w:hAnsi="Arial"/>
                <w:b/>
                <w:sz w:val="17"/>
              </w:rPr>
              <w:t>Altai %</w:t>
            </w:r>
          </w:p>
        </w:tc>
        <w:tc>
          <w:tcPr>
            <w:tcW w:type="dxa" w:w="1872"/>
            <w:shd w:fill="D9EAF7"/>
          </w:tcPr>
          <w:p>
            <w:pPr>
              <w:spacing w:line="240" w:lineRule="auto"/>
            </w:pPr>
            <w:r>
              <w:rPr>
                <w:rFonts w:ascii="Arial" w:hAnsi="Arial"/>
                <w:b/>
                <w:sz w:val="17"/>
              </w:rPr>
              <w:t>Vindija %</w:t>
            </w:r>
          </w:p>
        </w:tc>
        <w:tc>
          <w:tcPr>
            <w:tcW w:type="dxa" w:w="1872"/>
            <w:shd w:fill="D9EAF7"/>
          </w:tcPr>
          <w:p>
            <w:pPr>
              <w:spacing w:line="240" w:lineRule="auto"/>
            </w:pPr>
            <w:r>
              <w:rPr>
                <w:rFonts w:ascii="Arial" w:hAnsi="Arial"/>
                <w:b/>
                <w:sz w:val="17"/>
              </w:rPr>
              <w:t>Chagyrskaya %</w:t>
            </w:r>
          </w:p>
        </w:tc>
      </w:tr>
      <w:tr>
        <w:tc>
          <w:tcPr>
            <w:tcW w:type="dxa" w:w="1872"/>
          </w:tcPr>
          <w:p>
            <w:pPr>
              <w:spacing w:line="240" w:lineRule="auto"/>
            </w:pPr>
            <w:r>
              <w:rPr>
                <w:rFonts w:ascii="Arial" w:hAnsi="Arial"/>
                <w:b w:val="0"/>
                <w:sz w:val="17"/>
              </w:rPr>
              <w:t>East Asia</w:t>
            </w:r>
          </w:p>
        </w:tc>
        <w:tc>
          <w:tcPr>
            <w:tcW w:type="dxa" w:w="1872"/>
          </w:tcPr>
          <w:p>
            <w:pPr>
              <w:spacing w:line="240" w:lineRule="auto"/>
            </w:pPr>
            <w:r>
              <w:rPr>
                <w:rFonts w:ascii="Arial" w:hAnsi="Arial"/>
                <w:b w:val="0"/>
                <w:sz w:val="17"/>
              </w:rPr>
              <w:t>57</w:t>
            </w:r>
          </w:p>
        </w:tc>
        <w:tc>
          <w:tcPr>
            <w:tcW w:type="dxa" w:w="1872"/>
          </w:tcPr>
          <w:p>
            <w:pPr>
              <w:spacing w:line="240" w:lineRule="auto"/>
            </w:pPr>
            <w:r>
              <w:rPr>
                <w:rFonts w:ascii="Arial" w:hAnsi="Arial"/>
                <w:b w:val="0"/>
                <w:sz w:val="17"/>
              </w:rPr>
              <w:t>54.4</w:t>
            </w:r>
          </w:p>
        </w:tc>
        <w:tc>
          <w:tcPr>
            <w:tcW w:type="dxa" w:w="1872"/>
          </w:tcPr>
          <w:p>
            <w:pPr>
              <w:spacing w:line="240" w:lineRule="auto"/>
            </w:pPr>
            <w:r>
              <w:rPr>
                <w:rFonts w:ascii="Arial" w:hAnsi="Arial"/>
                <w:b w:val="0"/>
                <w:sz w:val="17"/>
              </w:rPr>
              <w:t>1.8</w:t>
            </w:r>
          </w:p>
        </w:tc>
        <w:tc>
          <w:tcPr>
            <w:tcW w:type="dxa" w:w="1872"/>
          </w:tcPr>
          <w:p>
            <w:pPr>
              <w:spacing w:line="240" w:lineRule="auto"/>
            </w:pPr>
            <w:r>
              <w:rPr>
                <w:rFonts w:ascii="Arial" w:hAnsi="Arial"/>
                <w:b w:val="0"/>
                <w:sz w:val="17"/>
              </w:rPr>
              <w:t>43.9</w:t>
            </w:r>
          </w:p>
        </w:tc>
      </w:tr>
      <w:tr>
        <w:tc>
          <w:tcPr>
            <w:tcW w:type="dxa" w:w="1872"/>
          </w:tcPr>
          <w:p>
            <w:pPr>
              <w:spacing w:line="240" w:lineRule="auto"/>
            </w:pPr>
            <w:r>
              <w:rPr>
                <w:rFonts w:ascii="Arial" w:hAnsi="Arial"/>
                <w:b w:val="0"/>
                <w:sz w:val="17"/>
              </w:rPr>
              <w:t>Europe</w:t>
            </w:r>
          </w:p>
        </w:tc>
        <w:tc>
          <w:tcPr>
            <w:tcW w:type="dxa" w:w="1872"/>
          </w:tcPr>
          <w:p>
            <w:pPr>
              <w:spacing w:line="240" w:lineRule="auto"/>
            </w:pPr>
            <w:r>
              <w:rPr>
                <w:rFonts w:ascii="Arial" w:hAnsi="Arial"/>
                <w:b w:val="0"/>
                <w:sz w:val="17"/>
              </w:rPr>
              <w:t>275</w:t>
            </w:r>
          </w:p>
        </w:tc>
        <w:tc>
          <w:tcPr>
            <w:tcW w:type="dxa" w:w="1872"/>
          </w:tcPr>
          <w:p>
            <w:pPr>
              <w:spacing w:line="240" w:lineRule="auto"/>
            </w:pPr>
            <w:r>
              <w:rPr>
                <w:rFonts w:ascii="Arial" w:hAnsi="Arial"/>
                <w:b w:val="0"/>
                <w:sz w:val="17"/>
              </w:rPr>
              <w:t>7.3</w:t>
            </w:r>
          </w:p>
        </w:tc>
        <w:tc>
          <w:tcPr>
            <w:tcW w:type="dxa" w:w="1872"/>
          </w:tcPr>
          <w:p>
            <w:pPr>
              <w:spacing w:line="240" w:lineRule="auto"/>
            </w:pPr>
            <w:r>
              <w:rPr>
                <w:rFonts w:ascii="Arial" w:hAnsi="Arial"/>
                <w:b w:val="0"/>
                <w:sz w:val="17"/>
              </w:rPr>
              <w:t>46.5</w:t>
            </w:r>
          </w:p>
        </w:tc>
        <w:tc>
          <w:tcPr>
            <w:tcW w:type="dxa" w:w="1872"/>
          </w:tcPr>
          <w:p>
            <w:pPr>
              <w:spacing w:line="240" w:lineRule="auto"/>
            </w:pPr>
            <w:r>
              <w:rPr>
                <w:rFonts w:ascii="Arial" w:hAnsi="Arial"/>
                <w:b w:val="0"/>
                <w:sz w:val="17"/>
              </w:rPr>
              <w:t>46.2</w:t>
            </w:r>
          </w:p>
        </w:tc>
      </w:tr>
      <w:tr>
        <w:tc>
          <w:tcPr>
            <w:tcW w:type="dxa" w:w="1872"/>
          </w:tcPr>
          <w:p>
            <w:pPr>
              <w:spacing w:line="240" w:lineRule="auto"/>
            </w:pPr>
            <w:r>
              <w:rPr>
                <w:rFonts w:ascii="Arial" w:hAnsi="Arial"/>
                <w:b w:val="0"/>
                <w:sz w:val="17"/>
              </w:rPr>
              <w:t>Indigenous Americas</w:t>
            </w:r>
          </w:p>
        </w:tc>
        <w:tc>
          <w:tcPr>
            <w:tcW w:type="dxa" w:w="1872"/>
          </w:tcPr>
          <w:p>
            <w:pPr>
              <w:spacing w:line="240" w:lineRule="auto"/>
            </w:pPr>
            <w:r>
              <w:rPr>
                <w:rFonts w:ascii="Arial" w:hAnsi="Arial"/>
                <w:b w:val="0"/>
                <w:sz w:val="17"/>
              </w:rPr>
              <w:t>2</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100.0</w:t>
            </w:r>
          </w:p>
        </w:tc>
        <w:tc>
          <w:tcPr>
            <w:tcW w:type="dxa" w:w="1872"/>
          </w:tcPr>
          <w:p>
            <w:pPr>
              <w:spacing w:line="240" w:lineRule="auto"/>
            </w:pPr>
            <w:r>
              <w:rPr>
                <w:rFonts w:ascii="Arial" w:hAnsi="Arial"/>
                <w:b w:val="0"/>
                <w:sz w:val="17"/>
              </w:rPr>
              <w:t>0.0</w:t>
            </w:r>
          </w:p>
        </w:tc>
      </w:tr>
      <w:tr>
        <w:tc>
          <w:tcPr>
            <w:tcW w:type="dxa" w:w="1872"/>
          </w:tcPr>
          <w:p>
            <w:pPr>
              <w:spacing w:line="240" w:lineRule="auto"/>
            </w:pPr>
            <w:r>
              <w:rPr>
                <w:rFonts w:ascii="Arial" w:hAnsi="Arial"/>
                <w:b w:val="0"/>
                <w:sz w:val="17"/>
              </w:rPr>
              <w:t>Admixed Americas</w:t>
            </w:r>
          </w:p>
        </w:tc>
        <w:tc>
          <w:tcPr>
            <w:tcW w:type="dxa" w:w="1872"/>
          </w:tcPr>
          <w:p>
            <w:pPr>
              <w:spacing w:line="240" w:lineRule="auto"/>
            </w:pPr>
            <w:r>
              <w:rPr>
                <w:rFonts w:ascii="Arial" w:hAnsi="Arial"/>
                <w:b w:val="0"/>
                <w:sz w:val="17"/>
              </w:rPr>
              <w:t>98</w:t>
            </w:r>
          </w:p>
        </w:tc>
        <w:tc>
          <w:tcPr>
            <w:tcW w:type="dxa" w:w="1872"/>
          </w:tcPr>
          <w:p>
            <w:pPr>
              <w:spacing w:line="240" w:lineRule="auto"/>
            </w:pPr>
            <w:r>
              <w:rPr>
                <w:rFonts w:ascii="Arial" w:hAnsi="Arial"/>
                <w:b w:val="0"/>
                <w:sz w:val="17"/>
              </w:rPr>
              <w:t>3.1</w:t>
            </w:r>
          </w:p>
        </w:tc>
        <w:tc>
          <w:tcPr>
            <w:tcW w:type="dxa" w:w="1872"/>
          </w:tcPr>
          <w:p>
            <w:pPr>
              <w:spacing w:line="240" w:lineRule="auto"/>
            </w:pPr>
            <w:r>
              <w:rPr>
                <w:rFonts w:ascii="Arial" w:hAnsi="Arial"/>
                <w:b w:val="0"/>
                <w:sz w:val="17"/>
              </w:rPr>
              <w:t>61.2</w:t>
            </w:r>
          </w:p>
        </w:tc>
        <w:tc>
          <w:tcPr>
            <w:tcW w:type="dxa" w:w="1872"/>
          </w:tcPr>
          <w:p>
            <w:pPr>
              <w:spacing w:line="240" w:lineRule="auto"/>
            </w:pPr>
            <w:r>
              <w:rPr>
                <w:rFonts w:ascii="Arial" w:hAnsi="Arial"/>
                <w:b w:val="0"/>
                <w:sz w:val="17"/>
              </w:rPr>
              <w:t>35.7</w:t>
            </w:r>
          </w:p>
        </w:tc>
      </w:tr>
      <w:tr>
        <w:tc>
          <w:tcPr>
            <w:tcW w:type="dxa" w:w="1872"/>
          </w:tcPr>
          <w:p>
            <w:pPr>
              <w:spacing w:line="240" w:lineRule="auto"/>
            </w:pPr>
            <w:r>
              <w:rPr>
                <w:rFonts w:ascii="Arial" w:hAnsi="Arial"/>
                <w:b w:val="0"/>
                <w:sz w:val="17"/>
              </w:rPr>
              <w:t>Central/South Asia</w:t>
            </w:r>
          </w:p>
        </w:tc>
        <w:tc>
          <w:tcPr>
            <w:tcW w:type="dxa" w:w="1872"/>
          </w:tcPr>
          <w:p>
            <w:pPr>
              <w:spacing w:line="240" w:lineRule="auto"/>
            </w:pPr>
            <w:r>
              <w:rPr>
                <w:rFonts w:ascii="Arial" w:hAnsi="Arial"/>
                <w:b w:val="0"/>
                <w:sz w:val="17"/>
              </w:rPr>
              <w:t>98</w:t>
            </w:r>
          </w:p>
        </w:tc>
        <w:tc>
          <w:tcPr>
            <w:tcW w:type="dxa" w:w="1872"/>
          </w:tcPr>
          <w:p>
            <w:pPr>
              <w:spacing w:line="240" w:lineRule="auto"/>
            </w:pPr>
            <w:r>
              <w:rPr>
                <w:rFonts w:ascii="Arial" w:hAnsi="Arial"/>
                <w:b w:val="0"/>
                <w:sz w:val="17"/>
              </w:rPr>
              <w:t>9.2</w:t>
            </w:r>
          </w:p>
        </w:tc>
        <w:tc>
          <w:tcPr>
            <w:tcW w:type="dxa" w:w="1872"/>
          </w:tcPr>
          <w:p>
            <w:pPr>
              <w:spacing w:line="240" w:lineRule="auto"/>
            </w:pPr>
            <w:r>
              <w:rPr>
                <w:rFonts w:ascii="Arial" w:hAnsi="Arial"/>
                <w:b w:val="0"/>
                <w:sz w:val="17"/>
              </w:rPr>
              <w:t>44.9</w:t>
            </w:r>
          </w:p>
        </w:tc>
        <w:tc>
          <w:tcPr>
            <w:tcW w:type="dxa" w:w="1872"/>
          </w:tcPr>
          <w:p>
            <w:pPr>
              <w:spacing w:line="240" w:lineRule="auto"/>
            </w:pPr>
            <w:r>
              <w:rPr>
                <w:rFonts w:ascii="Arial" w:hAnsi="Arial"/>
                <w:b w:val="0"/>
                <w:sz w:val="17"/>
              </w:rPr>
              <w:t>45.9</w:t>
            </w:r>
          </w:p>
        </w:tc>
      </w:tr>
      <w:tr>
        <w:tc>
          <w:tcPr>
            <w:tcW w:type="dxa" w:w="1872"/>
          </w:tcPr>
          <w:p>
            <w:pPr>
              <w:spacing w:line="240" w:lineRule="auto"/>
            </w:pPr>
            <w:r>
              <w:rPr>
                <w:rFonts w:ascii="Arial" w:hAnsi="Arial"/>
                <w:b w:val="0"/>
                <w:sz w:val="17"/>
              </w:rPr>
              <w:t>Middle East</w:t>
            </w:r>
          </w:p>
        </w:tc>
        <w:tc>
          <w:tcPr>
            <w:tcW w:type="dxa" w:w="1872"/>
          </w:tcPr>
          <w:p>
            <w:pPr>
              <w:spacing w:line="240" w:lineRule="auto"/>
            </w:pPr>
            <w:r>
              <w:rPr>
                <w:rFonts w:ascii="Arial" w:hAnsi="Arial"/>
                <w:b w:val="0"/>
                <w:sz w:val="17"/>
              </w:rPr>
              <w:t>44</w:t>
            </w:r>
          </w:p>
        </w:tc>
        <w:tc>
          <w:tcPr>
            <w:tcW w:type="dxa" w:w="1872"/>
          </w:tcPr>
          <w:p>
            <w:pPr>
              <w:spacing w:line="240" w:lineRule="auto"/>
            </w:pPr>
            <w:r>
              <w:rPr>
                <w:rFonts w:ascii="Arial" w:hAnsi="Arial"/>
                <w:b w:val="0"/>
                <w:sz w:val="17"/>
              </w:rPr>
              <w:t>11.4</w:t>
            </w:r>
          </w:p>
        </w:tc>
        <w:tc>
          <w:tcPr>
            <w:tcW w:type="dxa" w:w="1872"/>
          </w:tcPr>
          <w:p>
            <w:pPr>
              <w:spacing w:line="240" w:lineRule="auto"/>
            </w:pPr>
            <w:r>
              <w:rPr>
                <w:rFonts w:ascii="Arial" w:hAnsi="Arial"/>
                <w:b w:val="0"/>
                <w:sz w:val="17"/>
              </w:rPr>
              <w:t>52.3</w:t>
            </w:r>
          </w:p>
        </w:tc>
        <w:tc>
          <w:tcPr>
            <w:tcW w:type="dxa" w:w="1872"/>
          </w:tcPr>
          <w:p>
            <w:pPr>
              <w:spacing w:line="240" w:lineRule="auto"/>
            </w:pPr>
            <w:r>
              <w:rPr>
                <w:rFonts w:ascii="Arial" w:hAnsi="Arial"/>
                <w:b w:val="0"/>
                <w:sz w:val="17"/>
              </w:rPr>
              <w:t>36.4</w:t>
            </w:r>
          </w:p>
        </w:tc>
      </w:tr>
      <w:tr>
        <w:tc>
          <w:tcPr>
            <w:tcW w:type="dxa" w:w="1872"/>
          </w:tcPr>
          <w:p>
            <w:pPr>
              <w:spacing w:line="240" w:lineRule="auto"/>
            </w:pPr>
            <w:r>
              <w:rPr>
                <w:rFonts w:ascii="Arial" w:hAnsi="Arial"/>
                <w:b w:val="0"/>
                <w:sz w:val="17"/>
              </w:rPr>
              <w:t>Oceania</w:t>
            </w:r>
          </w:p>
        </w:tc>
        <w:tc>
          <w:tcPr>
            <w:tcW w:type="dxa" w:w="1872"/>
          </w:tcPr>
          <w:p>
            <w:pPr>
              <w:spacing w:line="240" w:lineRule="auto"/>
            </w:pPr>
            <w:r>
              <w:rPr>
                <w:rFonts w:ascii="Arial" w:hAnsi="Arial"/>
                <w:b w:val="0"/>
                <w:sz w:val="17"/>
              </w:rPr>
              <w:t>13</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0.0</w:t>
            </w:r>
          </w:p>
        </w:tc>
        <w:tc>
          <w:tcPr>
            <w:tcW w:type="dxa" w:w="1872"/>
          </w:tcPr>
          <w:p>
            <w:pPr>
              <w:spacing w:line="240" w:lineRule="auto"/>
            </w:pPr>
            <w:r>
              <w:rPr>
                <w:rFonts w:ascii="Arial" w:hAnsi="Arial"/>
                <w:b w:val="0"/>
                <w:sz w:val="17"/>
              </w:rPr>
              <w:t>100.0</w:t>
            </w:r>
          </w:p>
        </w:tc>
      </w:tr>
    </w:tbl>
    <w:p>
      <w:pPr>
        <w:spacing w:line="240" w:lineRule="auto"/>
      </w:pPr>
      <w:r>
        <w:rPr>
          <w:sz w:val="18"/>
        </w:rPr>
        <w:t>Note. Counts are classifiable segments, not individuals. Percentages use the three-reference denominator shown by n. Equal maximum-similarity ties are excluded from these percentages but retained in Supplementary Data. The 2/2 Indigenous American value is not a regional frequency estimate; only one segment overlaps ABO.</w:t>
      </w:r>
    </w:p>
    <w:p>
      <w:pPr>
        <w:pStyle w:val="Heading2"/>
      </w:pPr>
      <w:r>
        <w:t>ABO-related and global contextual figures</w:t>
      </w:r>
    </w:p>
    <w:p>
      <w:pPr>
        <w:ind w:firstLine="432"/>
      </w:pPr>
      <w:r>
        <w:rPr>
          <w:rFonts w:ascii="Times New Roman" w:hAnsi="Times New Roman"/>
          <w:i w:val="0"/>
          <w:sz w:val="24"/>
        </w:rPr>
        <w:t>The O2-defining allele and ABO-window carrier summaries use different sources and are displayed descriptively rather than as an association analysis (Figure 7). The Ancient North Eurasian pathway is retained as a testable contextual hypothesis, not a route inferred from the two Indigenous American segment records (Figure 8). Ancient and modern ABO-window observations were produced by different pipelines and permit no formal temporal comparison (Figure 9). A literature-derived global bivariate map provides broad Neanderthal and Denisovan ancestry context; its approximate values were not used in the statistical models (Figure 10).</w:t>
      </w:r>
    </w:p>
    <w:p>
      <w:pPr>
        <w:spacing w:before="320"/>
        <w:jc w:val="center"/>
      </w:pPr>
      <w:r>
        <w:drawing>
          <wp:inline xmlns:a="http://schemas.openxmlformats.org/drawingml/2006/main" xmlns:pic="http://schemas.openxmlformats.org/drawingml/2006/picture">
            <wp:extent cx="5806440" cy="2537619"/>
            <wp:docPr id="7" name="Picture 7"/>
            <wp:cNvGraphicFramePr>
              <a:graphicFrameLocks noChangeAspect="1"/>
            </wp:cNvGraphicFramePr>
            <a:graphic>
              <a:graphicData uri="http://schemas.openxmlformats.org/drawingml/2006/picture">
                <pic:pic>
                  <pic:nvPicPr>
                    <pic:cNvPr id="0" name="fig6_o2_introgression.png"/>
                    <pic:cNvPicPr/>
                  </pic:nvPicPr>
                  <pic:blipFill>
                    <a:blip r:embed="rId15"/>
                    <a:stretch>
                      <a:fillRect/>
                    </a:stretch>
                  </pic:blipFill>
                  <pic:spPr>
                    <a:xfrm>
                      <a:off x="0" y="0"/>
                      <a:ext cx="5806440" cy="2537619"/>
                    </a:xfrm>
                    <a:prstGeom prst="rect"/>
                  </pic:spPr>
                </pic:pic>
              </a:graphicData>
            </a:graphic>
          </wp:inline>
        </w:drawing>
      </w:r>
    </w:p>
    <w:p>
      <w:pPr>
        <w:spacing w:before="200" w:line="276" w:lineRule="auto"/>
      </w:pPr>
      <w:r>
        <w:rPr>
          <w:b/>
        </w:rPr>
        <w:t xml:space="preserve">Figure 7. </w:t>
      </w:r>
      <w:r>
        <w:t>O2 blood-group subtype-defining allele frequencies and ABO-window segment-carrier frequencies. The panels use different sources and are not an association analysis; proximity does not establish that the O2 allele is Neanderthal-derived.</w:t>
      </w:r>
    </w:p>
    <w:p>
      <w:pPr>
        <w:spacing w:before="320"/>
        <w:jc w:val="center"/>
      </w:pPr>
      <w:r>
        <w:drawing>
          <wp:inline xmlns:a="http://schemas.openxmlformats.org/drawingml/2006/main" xmlns:pic="http://schemas.openxmlformats.org/drawingml/2006/picture">
            <wp:extent cx="5806440" cy="3733910"/>
            <wp:docPr id="8" name="Picture 8"/>
            <wp:cNvGraphicFramePr>
              <a:graphicFrameLocks noChangeAspect="1"/>
            </wp:cNvGraphicFramePr>
            <a:graphic>
              <a:graphicData uri="http://schemas.openxmlformats.org/drawingml/2006/picture">
                <pic:pic>
                  <pic:nvPicPr>
                    <pic:cNvPr id="0" name="fig7_ane_model.png"/>
                    <pic:cNvPicPr/>
                  </pic:nvPicPr>
                  <pic:blipFill>
                    <a:blip r:embed="rId16"/>
                    <a:stretch>
                      <a:fillRect/>
                    </a:stretch>
                  </pic:blipFill>
                  <pic:spPr>
                    <a:xfrm>
                      <a:off x="0" y="0"/>
                      <a:ext cx="5806440" cy="3733910"/>
                    </a:xfrm>
                    <a:prstGeom prst="rect"/>
                  </pic:spPr>
                </pic:pic>
              </a:graphicData>
            </a:graphic>
          </wp:inline>
        </w:drawing>
      </w:r>
    </w:p>
    <w:p>
      <w:pPr>
        <w:spacing w:before="200" w:line="276" w:lineRule="auto"/>
      </w:pPr>
      <w:r>
        <w:rPr>
          <w:b/>
        </w:rPr>
        <w:t xml:space="preserve">Figure 8. </w:t>
      </w:r>
      <w:r>
        <w:t>Ancient North Eurasian contextual hypothesis. Dashed arrows represent a testable narrative, not evidence that either observed segment followed the illustrated route.</w:t>
      </w:r>
    </w:p>
    <w:p>
      <w:pPr>
        <w:spacing w:before="320"/>
        <w:jc w:val="center"/>
      </w:pPr>
      <w:r>
        <w:drawing>
          <wp:inline xmlns:a="http://schemas.openxmlformats.org/drawingml/2006/main" xmlns:pic="http://schemas.openxmlformats.org/drawingml/2006/picture">
            <wp:extent cx="5806440" cy="2930000"/>
            <wp:docPr id="9" name="Picture 9"/>
            <wp:cNvGraphicFramePr>
              <a:graphicFrameLocks noChangeAspect="1"/>
            </wp:cNvGraphicFramePr>
            <a:graphic>
              <a:graphicData uri="http://schemas.openxmlformats.org/drawingml/2006/picture">
                <pic:pic>
                  <pic:nvPicPr>
                    <pic:cNvPr id="0" name="fig8_temporal_dynamics.png"/>
                    <pic:cNvPicPr/>
                  </pic:nvPicPr>
                  <pic:blipFill>
                    <a:blip r:embed="rId17"/>
                    <a:stretch>
                      <a:fillRect/>
                    </a:stretch>
                  </pic:blipFill>
                  <pic:spPr>
                    <a:xfrm>
                      <a:off x="0" y="0"/>
                      <a:ext cx="5806440" cy="2930000"/>
                    </a:xfrm>
                    <a:prstGeom prst="rect"/>
                  </pic:spPr>
                </pic:pic>
              </a:graphicData>
            </a:graphic>
          </wp:inline>
        </w:drawing>
      </w:r>
    </w:p>
    <w:p>
      <w:pPr>
        <w:spacing w:before="200" w:line="276" w:lineRule="auto"/>
      </w:pPr>
      <w:r>
        <w:rPr>
          <w:b/>
        </w:rPr>
        <w:t xml:space="preserve">Figure 9. </w:t>
      </w:r>
      <w:r>
        <w:t>Descriptive ancient and modern ABO-window summaries generated by different pipelines; no formal temporal comparison is made.</w:t>
      </w:r>
    </w:p>
    <w:p>
      <w:pPr>
        <w:spacing w:before="320"/>
        <w:jc w:val="center"/>
      </w:pPr>
      <w:r>
        <w:drawing>
          <wp:inline xmlns:a="http://schemas.openxmlformats.org/drawingml/2006/main" xmlns:pic="http://schemas.openxmlformats.org/drawingml/2006/picture">
            <wp:extent cx="5806440" cy="3516467"/>
            <wp:docPr id="10" name="Picture 10"/>
            <wp:cNvGraphicFramePr>
              <a:graphicFrameLocks noChangeAspect="1"/>
            </wp:cNvGraphicFramePr>
            <a:graphic>
              <a:graphicData uri="http://schemas.openxmlformats.org/drawingml/2006/picture">
                <pic:pic>
                  <pic:nvPicPr>
                    <pic:cNvPr id="0" name="fig9_bivariate_world_map.png"/>
                    <pic:cNvPicPr/>
                  </pic:nvPicPr>
                  <pic:blipFill>
                    <a:blip r:embed="rId18"/>
                    <a:stretch>
                      <a:fillRect/>
                    </a:stretch>
                  </pic:blipFill>
                  <pic:spPr>
                    <a:xfrm>
                      <a:off x="0" y="0"/>
                      <a:ext cx="5806440" cy="3516467"/>
                    </a:xfrm>
                    <a:prstGeom prst="rect"/>
                  </pic:spPr>
                </pic:pic>
              </a:graphicData>
            </a:graphic>
          </wp:inline>
        </w:drawing>
      </w:r>
    </w:p>
    <w:p>
      <w:pPr>
        <w:spacing w:before="200" w:line="276" w:lineRule="auto"/>
      </w:pPr>
      <w:r>
        <w:rPr>
          <w:b/>
        </w:rPr>
        <w:t xml:space="preserve">Figure 10. </w:t>
      </w:r>
      <w:r>
        <w:t>Literature-derived global context. Circle size represents approximate Neanderthal ancestry and color intensity represents approximate Denisovan ancestry. Values were not used in the pairwise statistical models.</w:t>
      </w:r>
    </w:p>
    <w:p>
      <w:pPr>
        <w:pStyle w:val="Heading1"/>
      </w:pPr>
      <w:r>
        <w:t>Discussion</w:t>
      </w:r>
    </w:p>
    <w:p>
      <w:pPr>
        <w:ind w:firstLine="432"/>
      </w:pPr>
      <w:r>
        <w:rPr>
          <w:rFonts w:ascii="Times New Roman" w:hAnsi="Times New Roman"/>
          <w:i w:val="0"/>
          <w:sz w:val="24"/>
        </w:rPr>
        <w:t>After correction of the population-frequency construction, both Neanderthal and Denisovan profile similarities retained negative geographic associations. The result is therefore not an artifact of allowing fragmented segments to contribute repeatedly to the same haplotype-window. The revised estimates are used throughout the manuscript and submission materials.</w:t>
      </w:r>
    </w:p>
    <w:p>
      <w:pPr>
        <w:ind w:firstLine="432"/>
      </w:pPr>
      <w:r>
        <w:rPr>
          <w:rFonts w:ascii="Times New Roman" w:hAnsi="Times New Roman"/>
          <w:i w:val="0"/>
          <w:sz w:val="24"/>
        </w:rPr>
        <w:t>The population-label permutation is central to interpretation. A dataset of 2,145 pairs does not contain 2,145 independent geographic comparisons because each of 66 populations appears repeatedly. QAP preserves the complete matrix while testing whether the observed distance coefficient is unusual under population relabeling (Krackhardt 1988; Dekker, Krackhardt, and Snijders 2007). The expanded-model R-squared values remain descriptive; coarse same-continent, recent-admixture, and dataset indicators should not be read as causal adjustment.</w:t>
      </w:r>
    </w:p>
    <w:p>
      <w:pPr>
        <w:ind w:firstLine="432"/>
      </w:pPr>
      <w:r>
        <w:rPr>
          <w:rFonts w:ascii="Times New Roman" w:hAnsi="Times New Roman"/>
          <w:i w:val="0"/>
          <w:sz w:val="24"/>
        </w:rPr>
        <w:t>The distance-decay signal is compatible with broad serial demographic structure and the spatial patterning of introgressed sequence described in earlier work (Sankararaman et al. 2014; Sankararaman et al. 2016; Quilodran et al. 2023). It does not identify the timing, direction, or number of migration or introgression events. Population coordinates are approximations, and archaic-call similarity can also reflect callability, allele-frequency differences, linkage, selection, and reference-panel composition.</w:t>
      </w:r>
    </w:p>
    <w:p>
      <w:pPr>
        <w:ind w:firstLine="432"/>
      </w:pPr>
      <w:r>
        <w:rPr>
          <w:rFonts w:ascii="Times New Roman" w:hAnsi="Times New Roman"/>
          <w:i w:val="0"/>
          <w:sz w:val="24"/>
        </w:rPr>
        <w:t>The absence of FDR-supported residual outliers constrains the strongest historical claims. A highly ranked pair cannot be promoted as evidence for a special connection when its pair-specific permutation result does not survive the declared testing family. This is especially important for admixed American populations, for which recent mixture can alter both inferred archaic profiles and geographic interpretations.</w:t>
      </w:r>
    </w:p>
    <w:p>
      <w:pPr>
        <w:ind w:firstLine="432"/>
      </w:pPr>
      <w:r>
        <w:rPr>
          <w:rFonts w:ascii="Times New Roman" w:hAnsi="Times New Roman"/>
          <w:i w:val="0"/>
          <w:sz w:val="24"/>
        </w:rPr>
        <w:t>The ABO analysis illustrates the limits of a focal-locus narrative. ABO has deep allelic history, and selection can affect the persistence of introgressed sequence (Segurel et al. 2012; Petr et al. 2019). Nevertheless, an inferred segment in a 500-kb interval is not an ABO allele, closest-reference similarity is not a transmission path, and the O2-defining variant cannot be labeled Neanderthal-derived from proximity alone. The Pima and Maya observations are individual segment records, not population prevalence estimates.</w:t>
      </w:r>
    </w:p>
    <w:p>
      <w:pPr>
        <w:ind w:firstLine="432"/>
      </w:pPr>
      <w:r>
        <w:rPr>
          <w:rFonts w:ascii="Times New Roman" w:hAnsi="Times New Roman"/>
          <w:i w:val="0"/>
          <w:sz w:val="24"/>
        </w:rPr>
        <w:t>Published Ancient North Eurasian and multiple-founder models provide broader contexts for First American ancestry (Raghavan et al. 2014; Skoglund et al. 2015), but they do not validate a route for either ABO-window segment. Such a claim would require independently sampled ancient genomes, a phased local genealogy, method-matched calling, and explicit community-engaged governance for any new Indigenous genomic analysis.</w:t>
      </w:r>
    </w:p>
    <w:p>
      <w:pPr>
        <w:ind w:firstLine="432"/>
      </w:pPr>
      <w:r>
        <w:rPr>
          <w:rFonts w:ascii="Times New Roman" w:hAnsi="Times New Roman"/>
          <w:i w:val="0"/>
          <w:sz w:val="24"/>
        </w:rPr>
        <w:t>Limitations include modest sizes for several populations, sparse Denisovan calls outside Oceania, centroid-based distances, lack of a common callable mask, and correlation measures that do not distinguish identity by descent from identity by state. The dataset combines two projects, and same-dataset status only partially represents technical heterogeneity. Population-deletion and sensitivity analyses assess stability but cannot replace validation in independent modern and ancient data.</w:t>
      </w:r>
    </w:p>
    <w:p>
      <w:pPr>
        <w:ind w:firstLine="432"/>
      </w:pPr>
      <w:r>
        <w:rPr>
          <w:rFonts w:ascii="Times New Roman" w:hAnsi="Times New Roman"/>
          <w:i w:val="0"/>
          <w:sz w:val="24"/>
        </w:rPr>
        <w:t>In conclusion, population-level archaic-segment profiles show a broad geographic distance-decay pattern under dependence-aware permutation tests, but the same analysis provides no support for an exceptional population pair, an ABO-mediated migration history, or a specific route through Beringia or island Southeast Asia. The contribution is therefore less a new signal than a reproducible, dependence-aware baseline: by combining frequency-constrained profile construction, population-label QAP inference, and explicit false-discovery-rate control, it offers a reusable negative control against which focal-locus and special-connection archaic claims can be judged.</w:t>
      </w:r>
    </w:p>
    <w:p>
      <w:pPr>
        <w:pStyle w:val="Heading1"/>
      </w:pPr>
      <w:r>
        <w:t>Acknowledgements</w:t>
      </w:r>
    </w:p>
    <w:p>
      <w:r>
        <w:t>The author acknowledges the participants, communities, and investigators whose contributions made the 1000 Genomes, HGDP, hmmix, and ancient-genome resources available. Public availability does not remove obligations of respectful reuse.</w:t>
      </w:r>
    </w:p>
    <w:p>
      <w:pPr>
        <w:pStyle w:val="Heading1"/>
      </w:pPr>
      <w:r>
        <w:t>Data Availability</w:t>
      </w:r>
    </w:p>
    <w:p>
      <w:r>
        <w:t>Analysis scripts, aggregate derived data, figures, and document-generation code are available at https://github.com/bougtoir/denisovan-archaic-dna-analysis and will be fixed as release ajhb-submission-2026-07 before submission. The source hmmix segment calls are available from Zenodo record 14136628 (https://doi.org/10.5281/zenodo.14136628). Raw-file SHA-256 checksums and all analysis parameters are included in analysis_provenance.json.</w:t>
      </w:r>
    </w:p>
    <w:p>
      <w:pPr>
        <w:pStyle w:val="Heading1"/>
      </w:pPr>
      <w:r>
        <w:t>Funding</w:t>
      </w:r>
    </w:p>
    <w:p>
      <w:r>
        <w:t>This research received no specific grant from any funding agency in the public, commercial, or not-for-profit sectors.</w:t>
      </w:r>
    </w:p>
    <w:p>
      <w:pPr>
        <w:pStyle w:val="Heading1"/>
      </w:pPr>
      <w:r>
        <w:t>Conflict of Interest</w:t>
      </w:r>
    </w:p>
    <w:p>
      <w:r>
        <w:t>The author declares no conflict of interest.</w:t>
      </w:r>
    </w:p>
    <w:p>
      <w:pPr>
        <w:pStyle w:val="Heading1"/>
      </w:pPr>
      <w:r>
        <w:t>Ethics Statement</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generalized to communities, and are not used to assign migration routes. The public article, code, and aggregate derived results are the current means of results availability.</w:t>
      </w:r>
    </w:p>
    <w:p>
      <w:pPr>
        <w:pStyle w:val="Heading1"/>
      </w:pPr>
      <w:r>
        <w:t>Author Contributions</w:t>
      </w:r>
    </w:p>
    <w:p>
      <w:r>
        <w:t>Onishi Tatsuki: Conceptualization, methodology, formal analysis, visualization, writing—original draft, and writing—review and editing.</w:t>
      </w:r>
    </w:p>
    <w:p>
      <w:pPr>
        <w:pStyle w:val="Heading1"/>
      </w:pPr>
      <w:r>
        <w:t>Literature Cited</w:t>
      </w:r>
    </w:p>
    <w:p>
      <w:pPr>
        <w:spacing w:line="276" w:lineRule="auto" w:after="80"/>
        <w:ind w:hanging="360" w:left="360"/>
      </w:pPr>
      <w:r>
        <w:rPr>
          <w:sz w:val="20"/>
        </w:rPr>
        <w:t>1000 Genomes Project Consortium. 2015. “A Global Reference for Human Genetic Variation.” Nature 526 (7571): 68–74. https://doi.org/10.1038/nature15393.</w:t>
      </w:r>
    </w:p>
    <w:p>
      <w:pPr>
        <w:spacing w:line="276" w:lineRule="auto" w:after="80"/>
        <w:ind w:hanging="360" w:left="360"/>
      </w:pPr>
      <w:r>
        <w:rPr>
          <w:sz w:val="20"/>
        </w:rPr>
        <w:t>Benjamini, Yoav, and Yosef Hochberg. 1995. “Controlling the False Discovery Rate: A Practical and Powerful Approach to Multiple Testing.” Journal of the Royal Statistical Society: Series B 57 (1): 289–300. https://doi.org/10.1111/j.2517-6161.1995.tb02031.x.</w:t>
      </w:r>
    </w:p>
    <w:p>
      <w:pPr>
        <w:spacing w:line="276" w:lineRule="auto" w:after="80"/>
        <w:ind w:hanging="360" w:left="360"/>
      </w:pPr>
      <w:r>
        <w:rPr>
          <w:sz w:val="20"/>
        </w:rPr>
        <w:t>Bergström, Anders, Shane A. McCarthy, Ruoyun Hui, et al. 2020. “Insights into Human Genetic Variation and Population History from 929 Diverse Genomes.” Science 367 (6484): eaay5012. https://doi.org/10.1126/science.aay5012.</w:t>
      </w:r>
    </w:p>
    <w:p>
      <w:pPr>
        <w:spacing w:line="276" w:lineRule="auto" w:after="80"/>
        <w:ind w:hanging="360" w:left="360"/>
      </w:pPr>
      <w:r>
        <w:rPr>
          <w:sz w:val="20"/>
        </w:rPr>
        <w:t>Calafell, Francesc, Françoise Roubinet, Antonio Ramirez-Soriano, et al. 2008. “Evolutionary Dynamics of the Human ABO Gene.” Human Genetics 124 (2): 123–35. https://doi.org/10.1007/s00439-008-0530-8.</w:t>
      </w:r>
    </w:p>
    <w:p>
      <w:pPr>
        <w:spacing w:line="276" w:lineRule="auto" w:after="80"/>
        <w:ind w:hanging="360" w:left="360"/>
      </w:pPr>
      <w:r>
        <w:rPr>
          <w:sz w:val="20"/>
        </w:rPr>
        <w:t>Carroll, Stephanie Russo, Ibrahim Garba, Oscar L. Figueroa-Rodríguez, et al. 2020. “The CARE Principles for Indigenous Data Governance.” Data Science Journal 19: 43. https://doi.org/10.5334/dsj-2020-043.</w:t>
      </w:r>
    </w:p>
    <w:p>
      <w:pPr>
        <w:spacing w:line="276" w:lineRule="auto" w:after="80"/>
        <w:ind w:hanging="360" w:left="360"/>
      </w:pPr>
      <w:r>
        <w:rPr>
          <w:sz w:val="20"/>
        </w:rPr>
        <w:t>Claw, Katrina G., Dorothy Lippert, Jessica Bardill, et al. 2018. “A Framework for Enhancing Ethical Genomic Research with Indigenous Communities.” Nature Communications 9: 2957. https://doi.org/10.1038/s41467-018-05188-3.</w:t>
      </w:r>
    </w:p>
    <w:p>
      <w:pPr>
        <w:spacing w:line="276" w:lineRule="auto" w:after="80"/>
        <w:ind w:hanging="360" w:left="360"/>
      </w:pPr>
      <w:r>
        <w:rPr>
          <w:sz w:val="20"/>
        </w:rPr>
        <w:t>Condemi, Silvana, Amandine Mazières, Pascal Faux, et al. 2021. “Blood Groups of Neandertals and Denisova Decrypted.” PLOS ONE 16 (7): e0254175. https://doi.org/10.1371/journal.pone.0254175.</w:t>
      </w:r>
    </w:p>
    <w:p>
      <w:pPr>
        <w:spacing w:line="276" w:lineRule="auto" w:after="80"/>
        <w:ind w:hanging="360" w:left="360"/>
      </w:pPr>
      <w:r>
        <w:rPr>
          <w:sz w:val="20"/>
        </w:rPr>
        <w:t>Dekker, David, David Krackhardt, and Tom A. B. Snijders. 2007. “Sensitivity of MRQAP Tests to Collinearity and Autocorrelation Conditions.” Psychometrika 72: 563–81. https://doi.org/10.1007/s11336-007-9016-1.</w:t>
      </w:r>
    </w:p>
    <w:p>
      <w:pPr>
        <w:spacing w:line="276" w:lineRule="auto" w:after="80"/>
        <w:ind w:hanging="360" w:left="360"/>
      </w:pPr>
      <w:r>
        <w:rPr>
          <w:sz w:val="20"/>
        </w:rPr>
        <w:t>Green, Richard E., Johannes Krause, Adrian W. Briggs, et al. 2010. “A Draft Sequence of the Neandertal Genome.” Science 328 (5979): 710–22. https://doi.org/10.1126/science.1188021.</w:t>
      </w:r>
    </w:p>
    <w:p>
      <w:pPr>
        <w:spacing w:line="276" w:lineRule="auto" w:after="80"/>
        <w:ind w:hanging="360" w:left="360"/>
      </w:pPr>
      <w:r>
        <w:rPr>
          <w:sz w:val="20"/>
        </w:rPr>
        <w:t>Halverson, Melissa S., and Deborah A. Bolnick. 2008. “An Ancient DNA Test of a Founder Effect in Native American ABO Blood Group Frequencies.” American Journal of Physical Anthropology 137 (3): 342–47. https://doi.org/10.1002/ajpa.20887.</w:t>
      </w:r>
    </w:p>
    <w:p>
      <w:pPr>
        <w:spacing w:line="276" w:lineRule="auto" w:after="80"/>
        <w:ind w:hanging="360" w:left="360"/>
      </w:pPr>
      <w:r>
        <w:rPr>
          <w:sz w:val="20"/>
        </w:rPr>
        <w:t>Iasi, Leonardo N. M., Manjusha Chintalapati, Laurits Skov, et al. 2024. “Neanderthal Ancestry through Time: Insights from Genomes of Ancient and Present-Day Humans.” Science 386 (6727): eadq3010. https://doi.org/10.1126/science.adq3010.</w:t>
      </w:r>
    </w:p>
    <w:p>
      <w:pPr>
        <w:spacing w:line="276" w:lineRule="auto" w:after="80"/>
        <w:ind w:hanging="360" w:left="360"/>
      </w:pPr>
      <w:r>
        <w:rPr>
          <w:sz w:val="20"/>
        </w:rPr>
        <w:t>Jacobs, Guy S., Georgi Hudjashov, Lauri Saag, et al. 2019. “Multiple Deeply Divergent Denisovan Ancestries in Papuans.” Cell 177 (4): 1010–21.e32. https://doi.org/10.1016/j.cell.2019.02.035.</w:t>
      </w:r>
    </w:p>
    <w:p>
      <w:pPr>
        <w:spacing w:line="276" w:lineRule="auto" w:after="80"/>
        <w:ind w:hanging="360" w:left="360"/>
      </w:pPr>
      <w:r>
        <w:rPr>
          <w:sz w:val="20"/>
        </w:rPr>
        <w:t>Krackhardt, David. 1988. “Predicting with Networks: Nonparametric Multiple Regression Analysis of Dyadic Data.” Social Networks 10 (4): 359–81. https://doi.org/10.1016/0378-8733(88)90004-4.</w:t>
      </w:r>
    </w:p>
    <w:p>
      <w:pPr>
        <w:spacing w:line="276" w:lineRule="auto" w:after="80"/>
        <w:ind w:hanging="360" w:left="360"/>
      </w:pPr>
      <w:r>
        <w:rPr>
          <w:sz w:val="20"/>
        </w:rPr>
        <w:t>Ohashi, Jun, Izumi Naka, Ryosuke Kimura, et al. 2006. “Polymorphisms in the ABO Blood Group Gene in Three Populations in the New Georgia Group of the Solomon Islands.” Journal of Human Genetics 51 (5): 407–11. https://doi.org/10.1007/s10038-006-0375-8.</w:t>
      </w:r>
    </w:p>
    <w:p>
      <w:pPr>
        <w:spacing w:line="276" w:lineRule="auto" w:after="80"/>
        <w:ind w:hanging="360" w:left="360"/>
      </w:pPr>
      <w:r>
        <w:rPr>
          <w:sz w:val="20"/>
        </w:rPr>
        <w:t>Petr, Martin, Svante Pääbo, Janet Kelso, and Benjamin Vernot. 2019. “Limits of Long-Term Selection against Neandertal Introgression.” Proceedings of the National Academy of Sciences 116 (5): 1639–44. https://doi.org/10.1073/pnas.1814338116.</w:t>
      </w:r>
    </w:p>
    <w:p>
      <w:pPr>
        <w:spacing w:line="276" w:lineRule="auto" w:after="80"/>
        <w:ind w:hanging="360" w:left="360"/>
      </w:pPr>
      <w:r>
        <w:rPr>
          <w:sz w:val="20"/>
        </w:rPr>
        <w:t>Prüfer, Kay, Cesare de Filippo, Steffi Grote, et al. 2017. “A High-Coverage Neandertal Genome from Vindija Cave in Croatia.” Science 358 (6363): 655–58. https://doi.org/10.1126/science.aao1887.</w:t>
      </w:r>
    </w:p>
    <w:p>
      <w:pPr>
        <w:spacing w:line="276" w:lineRule="auto" w:after="80"/>
        <w:ind w:hanging="360" w:left="360"/>
      </w:pPr>
      <w:r>
        <w:rPr>
          <w:sz w:val="20"/>
        </w:rPr>
        <w:t>Quilodran, Claudio S., Julie Rio, Athanasios Tsoupas, and Mathias Currat. 2023. “Past Human Expansions Shaped the Spatial Pattern of Neanderthal Ancestry.” Science Advances 9 (42): eadg9817. https://doi.org/10.1126/sciadv.adg9817.</w:t>
      </w:r>
    </w:p>
    <w:p>
      <w:pPr>
        <w:spacing w:line="276" w:lineRule="auto" w:after="80"/>
        <w:ind w:hanging="360" w:left="360"/>
      </w:pPr>
      <w:r>
        <w:rPr>
          <w:sz w:val="20"/>
        </w:rPr>
        <w:t>Raghavan, Maanasa, Pontus Skoglund, Kelly E. Graf, et al. 2014. “Upper Palaeolithic Siberian Genome Reveals Dual Ancestry of Native Americans.” Nature 505 (7481): 87–91. https://doi.org/10.1038/nature12736.</w:t>
      </w:r>
    </w:p>
    <w:p>
      <w:pPr>
        <w:spacing w:line="276" w:lineRule="auto" w:after="80"/>
        <w:ind w:hanging="360" w:left="360"/>
      </w:pPr>
      <w:r>
        <w:rPr>
          <w:sz w:val="20"/>
        </w:rPr>
        <w:t>Reich, David, Richard E. Green, Martin Kircher, et al. 2010. “Genetic History of an Archaic Hominin Group from Denisova Cave in Siberia.” Nature 468 (7327): 1053–60. https://doi.org/10.1038/nature09710.</w:t>
      </w:r>
    </w:p>
    <w:p>
      <w:pPr>
        <w:spacing w:line="276" w:lineRule="auto" w:after="80"/>
        <w:ind w:hanging="360" w:left="360"/>
      </w:pPr>
      <w:r>
        <w:rPr>
          <w:sz w:val="20"/>
        </w:rPr>
        <w:t>Sankararaman, Sriram, Swapan Mallick, Michael Dannemann, et al. 2014. “The Genomic Landscape of Neanderthal Ancestry in Present-Day Humans.” Nature 507 (7492): 354–57. https://doi.org/10.1038/nature12961.</w:t>
      </w:r>
    </w:p>
    <w:p>
      <w:pPr>
        <w:spacing w:line="276" w:lineRule="auto" w:after="80"/>
        <w:ind w:hanging="360" w:left="360"/>
      </w:pPr>
      <w:r>
        <w:rPr>
          <w:sz w:val="20"/>
        </w:rPr>
        <w:t>Sankararaman, Sriram, Swapan Mallick, Nick Patterson, and David Reich. 2016. “The Combined Landscape of Denisovan and Neanderthal Ancestry in Present-Day Humans.” Current Biology 26 (9): 1241–47. https://doi.org/10.1016/j.cub.2016.03.037.</w:t>
      </w:r>
    </w:p>
    <w:p>
      <w:pPr>
        <w:spacing w:line="276" w:lineRule="auto" w:after="80"/>
        <w:ind w:hanging="360" w:left="360"/>
      </w:pPr>
      <w:r>
        <w:rPr>
          <w:sz w:val="20"/>
        </w:rPr>
        <w:t>Segurel, Laure, Emma E. Thompson, Timothée Flutre, et al. 2012. “The ABO Blood Group Is a Trans-Species Polymorphism in Primates.” Proceedings of the National Academy of Sciences 109 (45): 18493–98. https://doi.org/10.1073/pnas.1210603109.</w:t>
      </w:r>
    </w:p>
    <w:p>
      <w:pPr>
        <w:spacing w:line="276" w:lineRule="auto" w:after="80"/>
        <w:ind w:hanging="360" w:left="360"/>
      </w:pPr>
      <w:r>
        <w:rPr>
          <w:sz w:val="20"/>
        </w:rPr>
        <w:t>Skoglund, Pontus, Swapan Mallick, Maria Cátira Bortolini, et al. 2015. “Genetic Evidence for Two Founding Populations of the Americas.” Nature 525 (7567): 104–8. https://doi.org/10.1038/nature14895.</w:t>
      </w:r>
    </w:p>
    <w:p>
      <w:pPr>
        <w:spacing w:line="276" w:lineRule="auto" w:after="80"/>
        <w:ind w:hanging="360" w:left="360"/>
      </w:pPr>
      <w:r>
        <w:rPr>
          <w:sz w:val="20"/>
        </w:rPr>
        <w:t>Skov, Laurits, Ruoyun Hui, Vladimir Shchur, et al. 2018. “Detecting Archaic Introgression Using an Unadmixed Outgroup.” PLOS Genetics 14 (9): e1007641. https://doi.org/10.1371/journal.pgen.1007641.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not special connections: a dependence-aware baseline for archaic-segment sharing across 66 human populations</dc:title>
  <dc:subject/>
  <dc:creator>Onishi Tatsuki</dc:creator>
  <cp:keywords/>
  <dc:description>generated by python-docx</dc:description>
  <cp:lastModifiedBy/>
  <cp:revision>1</cp:revision>
  <dcterms:created xsi:type="dcterms:W3CDTF">2013-12-23T23:15:00Z</dcterms:created>
  <dcterms:modified xsi:type="dcterms:W3CDTF">2013-12-23T23:15:00Z</dcterms:modified>
  <cp:category/>
</cp:coreProperties>
</file>