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Supplementary material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1. Sensitivity-analysis framework for evaluating malpractice-litigation risk as a healthcare workforce-allocation lever.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89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_Supplementary_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2. Closed malpractice claims per 1,000 physicians by specialty, 2008–2024 (rates, not counts).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_Supplementary_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3. Physician workforce by specialty, indexed to 2008 (=100).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_Supplementary_Figu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1. Primary data sources and their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Physicians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Statistics of Physicians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Biennial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2004–2024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Denominator &amp; 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Closed malpractice claims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Supreme Court,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Exposure (numerator)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Hospitals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of Medical Institutions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Clinics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(static)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Every 3 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only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JMSR report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JMSR / MAIS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2015–2024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(2016-2024)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Newspaper article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Nikkei Telecom 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2008–2018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(2009-2018)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2. Equivalence (TOST) results (effect per +1 SD litigation rate).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 per SD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Margin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TOST 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Equivalent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3. JMSR-adjusted annual hospital growth model (2016-2024) with both exposures entered simultaneously.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JMSR report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4. Media-adjusted annual hospital growth model (2009-2018) with a linear time trend; full year fixed effects are omitted because the national article-count series is collinear with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media count (per 1,000 articles)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5. Holm step-down adjusted p-values for the exploratory sensitivity tests and the JOCS-CP indicator.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Raw p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Holm-adjusted p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Biennial physician growth ~ lagged litigation rate (JOCS-CP indicator)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0.249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Biennial hospital growth ~ lagged litigation rate (JOCS-CP indicator)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0.119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COUNTS contrast: physician growth ~ lagged litigation COUNT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0.506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Annual hospital growth ~ lagged litigation rate (2008-2024)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0.994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SENSITIVITY interpolated-annual physician growth ~ lag rate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0.389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JMSR-adjusted annual hospital growth (2016-2024) ~ lit rate + JMSR rate (litigation rate)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0.283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JMSR-adjusted annual hospital growth (2016-2024) ~ lit rate + JMSR rate (JMSR report rate)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Media-adjusted annual hospital growth (2009-2018) ~ lit rate + media count (litigation rate)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Media-adjusted annual hospital growth (2009-2018) ~ lit rate + media count (media count)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STROBE checklist</w:t>
      </w:r>
    </w:p>
    <w:p>
      <w:pPr>
        <w:spacing w:before="280" w:after="120"/>
      </w:pPr>
      <w:r>
        <w:rPr>
          <w:rFonts w:ascii="Times New Roman" w:hAnsi="Times New Roman"/>
          <w:b/>
          <w:sz w:val="20"/>
        </w:rPr>
        <w:t>STROBE checklist for observational cohort studies.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Item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Reported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Title and abstract indicate the study design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Background and rationale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Specific objectives and hypotheses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Key elements of study design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 sources, locations and dates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Eligibility and selection criteria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Definitions of outcomes, exposures and predictors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 sources and measurement methods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Discussion of potential sources of bias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Explanation of study size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Quantitative variables: grouping and transformations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Description of all statistical methods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Numbers of participants at each stage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characteristics of participants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 data for each exposure category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Main results with measures of uncertainty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Other analyses (sensitivity and subgroup)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Summary of key results with reference to objectives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Limitations of bias and imprecision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Cautious overall interpretation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Generalisability to other populations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Registration, protocol, funding, data and code availability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