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 in Japan, 2008–2024: a sensitivity-analysis framework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3454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