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genuinely useful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interaction time in the reduced masses.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confirming robustness.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reduced masses as covariates over the 64-configuration grid, and using the tail-robust median lifetime as the response, we obtain t</w:t>
      </w:r>
      <w:r>
        <w:rPr>
          <w:i/>
          <w:sz w:val="22"/>
          <w:vertAlign w:val="subscript"/>
        </w:rPr>
        <w:t>1/2</w:t>
      </w:r>
      <w:r>
        <w:rPr>
          <w:sz w:val="22"/>
        </w:rPr>
        <w:t xml:space="preserve"> ∝ μ</w:t>
      </w:r>
      <w:r>
        <w:rPr>
          <w:i/>
          <w:sz w:val="22"/>
          <w:vertAlign w:val="subscript"/>
        </w:rPr>
        <w:t>12</w:t>
      </w:r>
      <w:r>
        <w:rPr>
          <w:sz w:val="22"/>
          <w:vertAlign w:val="superscript"/>
        </w:rPr>
        <w:t>0.76</w:t>
      </w:r>
      <w:r>
        <w:rPr>
          <w:sz w:val="22"/>
        </w:rPr>
        <w:t xml:space="preserve"> × μ</w:t>
      </w:r>
      <w:r>
        <w:rPr>
          <w:i/>
          <w:sz w:val="22"/>
          <w:vertAlign w:val="subscript"/>
        </w:rPr>
        <w:t>out</w:t>
      </w:r>
      <w:r>
        <w:rPr>
          <w:sz w:val="22"/>
          <w:vertAlign w:val="superscript"/>
        </w:rPr>
        <w:t>0.50</w:t>
      </w:r>
      <w:r>
        <w:rPr>
          <w:sz w:val="22"/>
        </w:rPr>
        <w:t xml:space="preserve"> × M</w:t>
      </w:r>
      <w:r>
        <w:rPr>
          <w:sz w:val="22"/>
          <w:vertAlign w:val="superscript"/>
        </w:rPr>
        <w:t>-1.66</w:t>
      </w:r>
      <w:r>
        <w:rPr>
          <w:sz w:val="22"/>
        </w:rPr>
        <w:t xml:space="preserve"> (R</w:t>
      </w:r>
      <w:r>
        <w:rPr>
          <w:sz w:val="22"/>
        </w:rPr>
        <w:t>^</w:t>
      </w:r>
      <w:r>
        <w:rPr>
          <w:sz w:val="22"/>
        </w:rPr>
        <w:t>2 = 0.32, inter-individual variability ω = 0.51; Fig. 4). Heavier initial binaries and heavier binary–single pairs survive longer (deeper potential wells; positive μ</w:t>
      </w:r>
      <w:r>
        <w:rPr>
          <w:i/>
          <w:sz w:val="22"/>
          <w:vertAlign w:val="subscript"/>
        </w:rPr>
        <w:t>12</w:t>
      </w:r>
      <w:r>
        <w:rPr>
          <w:sz w:val="22"/>
        </w:rPr>
        <w:t xml:space="preserve"> and μ</w:t>
      </w:r>
      <w:r>
        <w:rPr>
          <w:i/>
          <w:sz w:val="22"/>
          <w:vertAlign w:val="subscript"/>
        </w:rPr>
        <w:t>out</w:t>
      </w:r>
      <w:r>
        <w:rPr>
          <w:sz w:val="22"/>
        </w:rPr>
        <w:t xml:space="preserve"> exponents), while a heavier total mass shortens the interaction (negative M exponent), consistent with the shorter dynamical time of a more massive triple.</w:t>
      </w:r>
    </w:p>
    <w:p>
      <w:r>
        <w:rPr>
          <w:sz w:val="22"/>
        </w:rPr>
        <w:t>The three reduced-mass covariates are strongly collinear (variance-inflation factors 2.3/3.5/5.6 for μ</w:t>
      </w:r>
      <w:r>
        <w:rPr>
          <w:i/>
          <w:sz w:val="22"/>
          <w:vertAlign w:val="subscript"/>
        </w:rPr>
        <w:t>12</w:t>
      </w:r>
      <w:r>
        <w:rPr>
          <w:sz w:val="22"/>
        </w:rPr>
        <w:t>/μ</w:t>
      </w:r>
      <w:r>
        <w:rPr>
          <w:i/>
          <w:sz w:val="22"/>
          <w:vertAlign w:val="subscript"/>
        </w:rPr>
        <w:t>out</w:t>
      </w:r>
      <w:r>
        <w:rPr>
          <w:sz w:val="22"/>
        </w:rPr>
        <w:t>/M), so the individual exponents should be read jointly rather than as independent partial derivatives. An LMG/Shapley decomposition, which attributes the explained variance fairly across correlated predictors, assigns R</w:t>
      </w:r>
      <w:r>
        <w:rPr>
          <w:sz w:val="22"/>
        </w:rPr>
        <w:t>^</w:t>
      </w:r>
      <w:r>
        <w:rPr>
          <w:sz w:val="22"/>
        </w:rPr>
        <w:t>2 shares of 0.05/0.06/0.20 to μ</w:t>
      </w:r>
      <w:r>
        <w:rPr>
          <w:i/>
          <w:sz w:val="22"/>
          <w:vertAlign w:val="subscript"/>
        </w:rPr>
        <w:t>12</w:t>
      </w:r>
      <w:r>
        <w:rPr>
          <w:sz w:val="22"/>
        </w:rPr>
        <w:t>/μ</w:t>
      </w:r>
      <w:r>
        <w:rPr>
          <w:i/>
          <w:sz w:val="22"/>
          <w:vertAlign w:val="subscript"/>
        </w:rPr>
        <w:t>out</w:t>
      </w:r>
      <w:r>
        <w:rPr>
          <w:sz w:val="22"/>
        </w:rPr>
        <w:t>/M, confirming that all three carry real, comparable information. Refitting on the orthogonal design axes (log m</w:t>
      </w:r>
      <w:r>
        <w:rPr>
          <w:i/>
          <w:sz w:val="22"/>
          <w:vertAlign w:val="subscript"/>
        </w:rPr>
        <w:t>2</w:t>
      </w:r>
      <w:r>
        <w:rPr>
          <w:sz w:val="22"/>
        </w:rPr>
        <w:t>, log m</w:t>
      </w:r>
      <w:r>
        <w:rPr>
          <w:i/>
          <w:sz w:val="22"/>
          <w:vertAlign w:val="subscript"/>
        </w:rPr>
        <w:t>3</w:t>
      </w:r>
      <w:r>
        <w:rPr>
          <w:sz w:val="22"/>
        </w:rPr>
        <w:t>; correlation 0.06) removes the collinearity and yields a consistent trend (R</w:t>
      </w:r>
      <w:r>
        <w:rPr>
          <w:sz w:val="22"/>
        </w:rPr>
        <w:t>^</w:t>
      </w:r>
      <w:r>
        <w:rPr>
          <w:sz w:val="22"/>
        </w:rPr>
        <w:t>2 = 0.14). The modest R</w:t>
      </w:r>
      <w:r>
        <w:rPr>
          <w:sz w:val="22"/>
        </w:rPr>
        <w:t>^</w:t>
      </w:r>
      <w:r>
        <w:rPr>
          <w:sz w:val="22"/>
        </w:rPr>
        <w:t>2 reflects the scatter intrinsic to chaotic scattering; the value of the law is that it replaces ad hoc outcome fits with a closed-form scaling that,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median lifetime for the allometric fit, annotated with the R</w:t>
      </w:r>
      <w:r>
        <w:rPr>
          <w:sz w:val="18"/>
        </w:rPr>
        <w:t>^</w:t>
      </w:r>
      <w:r>
        <w:rPr>
          <w:sz w:val="18"/>
        </w:rPr>
        <w:t>2, the LMG/Shapley R</w:t>
      </w:r>
      <w:r>
        <w:rPr>
          <w:sz w:val="18"/>
        </w:rPr>
        <w:t>^</w:t>
      </w:r>
      <w:r>
        <w:rPr>
          <w:sz w:val="18"/>
        </w:rPr>
        <w:t>2 shares and the variance-inflation factors for (μ</w:t>
      </w:r>
      <w:r>
        <w:rPr>
          <w:i/>
          <w:sz w:val="18"/>
          <w:vertAlign w:val="subscript"/>
        </w:rPr>
        <w:t>12</w:t>
      </w:r>
      <w:r>
        <w:rPr>
          <w:sz w:val="18"/>
        </w:rPr>
        <w:t>, μ</w:t>
      </w:r>
      <w:r>
        <w:rPr>
          <w:i/>
          <w:sz w:val="18"/>
          <w:vertAlign w:val="subscript"/>
        </w:rPr>
        <w:t>out</w:t>
      </w:r>
      <w:r>
        <w:rPr>
          <w:sz w:val="18"/>
        </w:rPr>
        <w:t>, M);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set out to test whether the pharmacokinetic toolkit, imported wholesale, is genuinely useful for the statistical three-body problem. It is. The compartment model reproduces the multi-exponential lifetime law and hands back the mean residence time in closed form; the Michaelis–Menten extension parametrises sticky chaos with one or two constants; and population-PK regression compresses the entire mass-ratio dependence into an allometric scaling law. Crucially, these are not restatements of known statistical theory but transferable estimators built on top of it: the PK MRT tracks the empirical mean lifetime across 64 configurations, and the multi-exponential survival coincides with the ergodic prediction while a single flux timescale does not.</w:t>
      </w:r>
    </w:p>
    <w:p>
      <w:r>
        <w:rPr>
          <w:sz w:val="22"/>
        </w:rPr>
        <w:t>The astrophysical payoff is concrete. The same closed-form outputs yield Peters-inspiral merger fractions and a large eccentricity boost of the GW merger rate, a dose–response predictor for which body is ejected (giving mass segregation once convolved with a realistic mass function), the eccentricity and kick distributions of the products, and environment-specific resonance-versus-encounter timescales for globular clusters, nuclear star clusters, and AGN discs. Because these follow from a handful of fitted rate constants, the framework can be re-tuned to a new mass spectrum or environment cheaply, complementing expensive direct surveys.</w:t>
      </w:r>
      <w:r>
        <w:rPr>
          <w:sz w:val="22"/>
        </w:rPr>
        <w:t xml:space="preserve"> (Samsing et al. 2022; Rodriguez et al. 2016; Antonini &amp; Rasio 2016)</w:t>
      </w:r>
    </w:p>
    <w:p>
      <w:r>
        <w:rPr>
          <w:sz w:val="22"/>
        </w:rPr>
        <w:t>The mapping is robust: it survives the move from 2D to 3D, thermal eccentricities, 2.5PN radiation reaction, 1PN precession, and tidal drag, with the compartment structure intact throughout. This breadth matters because it is exactly the regime — three-dimensional, eccentric, weakly dissipative — in which real cluster and disc encounters occur.</w:t>
      </w:r>
    </w:p>
    <w:p>
      <w:r>
        <w:rPr>
          <w:sz w:val="22"/>
        </w:rPr>
        <w:t>That the traffic runs both ways is, we argue, the deeper point. Celestial-mechanics stability theory illuminates TMDD steady states just as PK illuminates three-body statistics; the correspondence is a two-way bridge, not a one-directional analogy: the geometric stability theory of celestial mechanics may inform the design of drugs with controlled target residence times.</w:t>
      </w:r>
      <w:r>
        <w:rPr>
          <w:sz w:val="22"/>
        </w:rPr>
        <w:t xml:space="preserve"> (Copeland 2016)</w:t>
      </w:r>
      <w:r>
        <w:rPr>
          <w:sz w:val="22"/>
        </w:rPr>
        <w:t xml:space="preserve"> Because it rests only on the continuous-time Markov structure of multi-state first-passage processes, the same bridge may connect to chemical reaction networks and ecological dynamics — a broader programme we would call the ‘pharmacokinetics of chaos’.</w:t>
      </w:r>
    </w:p>
    <w:p>
      <w:r>
        <w:rPr>
          <w:sz w:val="22"/>
        </w:rPr>
        <w:t>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partially repairs at the cost of extra parameters. None of these affects the central finding that the compartment structure is preserved and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genuinely useful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