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[Date]</w:t>
      </w:r>
    </w:p>
    <w:p>
      <w:pPr>
        <w:spacing w:after="120"/>
      </w:pPr>
      <w:r>
        <w:rPr>
          <w:rFonts w:ascii="Times New Roman" w:hAnsi="Times New Roman"/>
          <w:b w:val="0"/>
          <w:i w:val="0"/>
          <w:sz w:val="24"/>
        </w:rPr>
      </w:r>
    </w:p>
    <w:p>
      <w:pPr>
        <w:spacing w:after="120"/>
      </w:pPr>
      <w:r>
        <w:rPr>
          <w:rFonts w:ascii="Times New Roman" w:hAnsi="Times New Roman"/>
          <w:b w:val="0"/>
          <w:i w:val="0"/>
          <w:sz w:val="24"/>
        </w:rPr>
        <w:t>The Editor</w:t>
      </w:r>
    </w:p>
    <w:p>
      <w:pPr>
        <w:spacing w:after="120"/>
      </w:pPr>
      <w:r>
        <w:rPr>
          <w:rFonts w:ascii="Times New Roman" w:hAnsi="Times New Roman"/>
          <w:b w:val="0"/>
          <w:i w:val="0"/>
          <w:sz w:val="24"/>
        </w:rPr>
        <w:t>The BMJ</w:t>
      </w:r>
    </w:p>
    <w:p>
      <w:pPr>
        <w:spacing w:after="120"/>
      </w:pPr>
      <w:r>
        <w:rPr>
          <w:rFonts w:ascii="Times New Roman" w:hAnsi="Times New Roman"/>
          <w:b w:val="0"/>
          <w:i w:val="0"/>
          <w:sz w:val="24"/>
        </w:rPr>
        <w:t>BMA House, Tavistock Square</w:t>
      </w:r>
    </w:p>
    <w:p>
      <w:pPr>
        <w:spacing w:after="120"/>
      </w:pPr>
      <w:r>
        <w:rPr>
          <w:rFonts w:ascii="Times New Roman" w:hAnsi="Times New Roman"/>
          <w:b w:val="0"/>
          <w:i w:val="0"/>
          <w:sz w:val="24"/>
        </w:rPr>
        <w:t>London WC1H 9JR</w:t>
      </w:r>
    </w:p>
    <w:p>
      <w:pPr>
        <w:spacing w:after="120"/>
      </w:pPr>
      <w:r>
        <w:rPr>
          <w:rFonts w:ascii="Times New Roman" w:hAnsi="Times New Roman"/>
          <w:b w:val="0"/>
          <w:i w:val="0"/>
          <w:sz w:val="24"/>
        </w:rPr>
        <w:t>United Kingdom</w:t>
      </w:r>
    </w:p>
    <w:p>
      <w:pPr>
        <w:spacing w:after="120"/>
      </w:pPr>
      <w:r>
        <w:rPr>
          <w:rFonts w:ascii="Times New Roman" w:hAnsi="Times New Roman"/>
          <w:b w:val="0"/>
          <w:i w:val="0"/>
          <w:sz w:val="24"/>
        </w:rPr>
      </w:r>
    </w:p>
    <w:p>
      <w:pPr>
        <w:spacing w:after="120"/>
      </w:pPr>
      <w:r>
        <w:rPr>
          <w:rFonts w:ascii="Times New Roman" w:hAnsi="Times New Roman"/>
          <w:b/>
          <w:i w:val="0"/>
          <w:sz w:val="24"/>
        </w:rPr>
        <w:t>Re: Submission of original research article — "Impact of medical safety incidents on physician workforce and healthcare facility supply across 12 specialties in Japan: an interrupted time series analysis"</w:t>
      </w:r>
    </w:p>
    <w:p>
      <w:pPr>
        <w:spacing w:after="120"/>
      </w:pPr>
      <w:r>
        <w:rPr>
          <w:rFonts w:ascii="Times New Roman" w:hAnsi="Times New Roman"/>
          <w:b w:val="0"/>
          <w:i w:val="0"/>
          <w:sz w:val="24"/>
        </w:rPr>
      </w:r>
    </w:p>
    <w:p>
      <w:pPr>
        <w:spacing w:after="120"/>
      </w:pPr>
      <w:r>
        <w:rPr>
          <w:rFonts w:ascii="Times New Roman" w:hAnsi="Times New Roman"/>
          <w:b w:val="0"/>
          <w:i w:val="0"/>
          <w:sz w:val="24"/>
        </w:rPr>
        <w:t>Dear Editor,</w:t>
      </w:r>
    </w:p>
    <w:p>
      <w:pPr>
        <w:spacing w:after="120"/>
      </w:pPr>
      <w:r>
        <w:rPr>
          <w:rFonts w:ascii="Times New Roman" w:hAnsi="Times New Roman"/>
          <w:b w:val="0"/>
          <w:i w:val="0"/>
          <w:sz w:val="24"/>
        </w:rPr>
      </w:r>
    </w:p>
    <w:p>
      <w:pPr>
        <w:spacing w:after="120"/>
      </w:pPr>
      <w:r>
        <w:rPr>
          <w:rFonts w:ascii="Times New Roman" w:hAnsi="Times New Roman"/>
          <w:b w:val="0"/>
          <w:i w:val="0"/>
          <w:sz w:val="24"/>
        </w:rPr>
        <w:t>We would like to submit the above manuscript for consideration as an original research article in The BMJ. This study examines whether medical safety incidents have measurable downstream effects on the physician workforce — a question of direct relevance to health systems worldwide that are grappling with workforce shortages in high-risk specialties.</w:t>
      </w:r>
    </w:p>
    <w:p>
      <w:pPr>
        <w:spacing w:after="120"/>
      </w:pPr>
      <w:r>
        <w:rPr>
          <w:rFonts w:ascii="Times New Roman" w:hAnsi="Times New Roman"/>
          <w:b w:val="0"/>
          <w:i w:val="0"/>
          <w:sz w:val="24"/>
        </w:rPr>
        <w:t>Using national administrative data from Japan spanning up to 20 years, we conducted an interrupted time series analysis across 12 medical specialties, employing three complementary definitions of medical safety incidents: mandatory reporting to the Japan Medical Safety Research Organisation (JMSR), Supreme Court medical malpractice litigation statistics, and a composite index. We analysed the impact on three workforce outcomes: specialty-specific physician counts, healthcare facility numbers, and specialist trainee enrolment. Cross-correlation analysis was used to estimate lead times, and AIC-based model selection to estimate the duration of the effect (window period).</w:t>
      </w:r>
    </w:p>
    <w:p>
      <w:pPr>
        <w:spacing w:after="120"/>
      </w:pPr>
      <w:r>
        <w:rPr>
          <w:rFonts w:ascii="Times New Roman" w:hAnsi="Times New Roman"/>
          <w:b w:val="0"/>
          <w:i w:val="0"/>
          <w:sz w:val="24"/>
        </w:rPr>
        <w:t>Our principal findings are as follows. First, medical safety incidents are followed by reductions in specialty-specific physician supply, with an estimated lead time of 1-3 years and an effect duration of 4-5 years. Obstetrics and gynaecology showed the strongest and most consistent association (r = -0.95, lag +3 years). Second, the phenomenon extends well beyond obstetrics: otolaryngology (r = -0.97), dermatology (r = -0.99), and urology (r = -0.94) — specialties not traditionally considered 'high-risk' — also showed strong delayed inverse associations. Third, negative lag values observed for anaesthesiology (-4 years) and otolaryngology trainees (-3 years) suggest that the relationship may be bidirectional: workforce shortages may themselves precede and contribute to increased incident reporting, raising the possibility of a vicious cycle.</w:t>
      </w:r>
    </w:p>
    <w:p>
      <w:pPr>
        <w:spacing w:after="120"/>
      </w:pPr>
      <w:r>
        <w:rPr>
          <w:rFonts w:ascii="Times New Roman" w:hAnsi="Times New Roman"/>
          <w:b w:val="0"/>
          <w:i w:val="0"/>
          <w:sz w:val="24"/>
        </w:rPr>
        <w:t>We believe this work is well suited to The BMJ for several reasons. The study addresses a gap at the intersection of patient safety and workforce policy — two topics of central importance to BMJ's readership. While previous work has documented the Fukushima obstetrics prosecution as a natural experiment affecting a single specialty, no study has systematically quantified the temporal parameters of the incident-workforce association across multiple specialties and definitions. The explicit estimation of lead time and window period parameters is methodologically novel and provides directly actionable inputs for workforce forecasting models. Furthermore, the finding that the relationship may be bidirectional — with workforce shortages potentially driving incidents as well as incidents driving workforce decline — has important implications for how health systems design both patient safety and workforce retention strategies.</w:t>
      </w:r>
    </w:p>
    <w:p>
      <w:pPr>
        <w:spacing w:after="120"/>
      </w:pPr>
      <w:r>
        <w:rPr>
          <w:rFonts w:ascii="Times New Roman" w:hAnsi="Times New Roman"/>
          <w:b w:val="0"/>
          <w:i w:val="0"/>
          <w:sz w:val="24"/>
        </w:rPr>
        <w:t>The study follows the REporting of studies Conducted using Observational Routinely-collected health Data (RECORD) guidelines and the Cochrane EPOC criteria for interrupted time series studies. All data sources are publicly available national administrative databases. Analysis code and data will be deposited in a public repository upon acceptance.</w:t>
      </w:r>
    </w:p>
    <w:p>
      <w:pPr>
        <w:spacing w:after="120"/>
      </w:pPr>
      <w:r>
        <w:rPr>
          <w:rFonts w:ascii="Times New Roman" w:hAnsi="Times New Roman"/>
          <w:b w:val="0"/>
          <w:i w:val="0"/>
          <w:sz w:val="24"/>
        </w:rPr>
        <w:t>This manuscript has not been published previously, is not under consideration by any other journal, and will not be submitted elsewhere while under review at The BMJ. All authors have read and approved the final manuscript. There are no conflicts of interest to declare. [Ethical approval was not required as the study used only publicly available, aggregated, de-identified administrative data with no individual patient information.]</w:t>
      </w:r>
    </w:p>
    <w:p>
      <w:pPr>
        <w:spacing w:after="120"/>
      </w:pPr>
      <w:r>
        <w:rPr>
          <w:rFonts w:ascii="Times New Roman" w:hAnsi="Times New Roman"/>
          <w:b w:val="0"/>
          <w:i/>
          <w:sz w:val="24"/>
        </w:rPr>
        <w:t>The manuscript contains approximately 3,800 words (excluding abstract, references, tables, and figures), a structured abstract of approximately 350 words, 8 figures, and 4 tables.</w:t>
      </w:r>
    </w:p>
    <w:p>
      <w:pPr>
        <w:spacing w:after="120"/>
      </w:pPr>
      <w:r>
        <w:rPr>
          <w:rFonts w:ascii="Times New Roman" w:hAnsi="Times New Roman"/>
          <w:b w:val="0"/>
          <w:i w:val="0"/>
          <w:sz w:val="24"/>
        </w:rPr>
      </w:r>
    </w:p>
    <w:p>
      <w:pPr>
        <w:spacing w:after="120"/>
      </w:pPr>
      <w:r>
        <w:rPr>
          <w:rFonts w:ascii="Times New Roman" w:hAnsi="Times New Roman"/>
          <w:b w:val="0"/>
          <w:i w:val="0"/>
          <w:sz w:val="24"/>
        </w:rPr>
        <w:t>We thank you for considering this manuscript and look forward to your response.</w:t>
      </w:r>
    </w:p>
    <w:p>
      <w:pPr>
        <w:spacing w:after="120"/>
      </w:pPr>
      <w:r>
        <w:rPr>
          <w:rFonts w:ascii="Times New Roman" w:hAnsi="Times New Roman"/>
          <w:b w:val="0"/>
          <w:i w:val="0"/>
          <w:sz w:val="24"/>
        </w:rPr>
      </w:r>
    </w:p>
    <w:p>
      <w:pPr>
        <w:spacing w:after="120"/>
      </w:pPr>
      <w:r>
        <w:rPr>
          <w:rFonts w:ascii="Times New Roman" w:hAnsi="Times New Roman"/>
          <w:b w:val="0"/>
          <w:i w:val="0"/>
          <w:sz w:val="24"/>
        </w:rPr>
        <w:t>Yours sincerely,</w:t>
      </w:r>
    </w:p>
    <w:p>
      <w:pPr>
        <w:spacing w:after="120"/>
      </w:pPr>
      <w:r>
        <w:rPr>
          <w:rFonts w:ascii="Times New Roman" w:hAnsi="Times New Roman"/>
          <w:b w:val="0"/>
          <w:i w:val="0"/>
          <w:sz w:val="24"/>
        </w:rPr>
      </w:r>
    </w:p>
    <w:p>
      <w:pPr>
        <w:spacing w:after="120"/>
      </w:pPr>
      <w:r>
        <w:rPr>
          <w:rFonts w:ascii="Times New Roman" w:hAnsi="Times New Roman"/>
          <w:b w:val="0"/>
          <w:i w:val="0"/>
          <w:sz w:val="24"/>
        </w:rPr>
        <w:t>[Corresponding author name]</w:t>
      </w:r>
    </w:p>
    <w:p>
      <w:pPr>
        <w:spacing w:after="120"/>
      </w:pPr>
      <w:r>
        <w:rPr>
          <w:rFonts w:ascii="Times New Roman" w:hAnsi="Times New Roman"/>
          <w:b w:val="0"/>
          <w:i w:val="0"/>
          <w:sz w:val="24"/>
        </w:rPr>
        <w:t>[Affiliation]</w:t>
      </w:r>
    </w:p>
    <w:p>
      <w:pPr>
        <w:spacing w:after="120"/>
      </w:pPr>
      <w:r>
        <w:rPr>
          <w:rFonts w:ascii="Times New Roman" w:hAnsi="Times New Roman"/>
          <w:b w:val="0"/>
          <w:i w:val="0"/>
          <w:sz w:val="24"/>
        </w:rPr>
        <w:t>[Email address]</w:t>
      </w:r>
    </w:p>
    <w:p>
      <w:pPr>
        <w:spacing w:after="120"/>
      </w:pPr>
      <w:r>
        <w:rPr>
          <w:rFonts w:ascii="Times New Roman" w:hAnsi="Times New Roman"/>
          <w:b w:val="0"/>
          <w:i w:val="0"/>
          <w:sz w:val="24"/>
        </w:rPr>
        <w:t>[ORCID]</w:t>
      </w:r>
    </w:p>
    <w:p>
      <w:pPr>
        <w:spacing w:after="120"/>
      </w:pPr>
      <w:r>
        <w:rPr>
          <w:rFonts w:ascii="Times New Roman" w:hAnsi="Times New Roman"/>
          <w:b w:val="0"/>
          <w:i w:val="0"/>
          <w:sz w:val="24"/>
        </w:rPr>
      </w:r>
    </w:p>
    <w:p>
      <w:pPr>
        <w:spacing w:after="120"/>
      </w:pPr>
      <w:r>
        <w:rPr>
          <w:rFonts w:ascii="Times New Roman" w:hAnsi="Times New Roman"/>
          <w:b w:val="0"/>
          <w:i w:val="0"/>
          <w:sz w:val="24"/>
        </w:rPr>
        <w:t>On behalf of all authors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