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Onishi Tatsuki</w:t>
      </w:r>
    </w:p>
    <w:p>
      <w:pPr>
        <w:spacing w:after="120" w:line="480" w:lineRule="auto"/>
        <w:jc w:val="center"/>
      </w:pPr>
      <w:r>
        <w:rPr>
          <w:rFonts w:ascii="Times New Roman" w:hAnsi="Times New Roman"/>
          <w:b w:val="0"/>
          <w:i w:val="0"/>
          <w:sz w:val="24"/>
        </w:rPr>
        <w:t>Correspondence to: Onishi Tatsuki</w:t>
        <w:br/>
        <w:t>Data Science AI Innovation Research Promotion Center, Shiga University</w:t>
        <w:br/>
        <w:t>1-1-1, Bamba, Hikone, Shiga, 522-8522 Japan</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w:t>
      </w:r>
      <w:r>
        <w:rPr>
          <w:rFonts w:ascii="Times New Roman" w:hAnsi="Times New Roman"/>
          <w:b w:val="0"/>
          <w:i w:val="0"/>
          <w:sz w:val="20"/>
          <w:vertAlign w:val="superscript"/>
        </w:rPr>
        <w:t>1-3</w:t>
      </w:r>
      <w:r>
        <w:rPr>
          <w:rFonts w:ascii="Times New Roman" w:hAnsi="Times New Roman"/>
          <w:b w:val="0"/>
          <w:i w:val="0"/>
          <w:sz w:val="24"/>
        </w:rPr>
        <w:t xml:space="preserve"> yet quantitative evidence remains limited, geographically concentrated in the United States, and largely focused on tort reform rather than incident occurrence itself.</w:t>
      </w:r>
      <w:r>
        <w:rPr>
          <w:rFonts w:ascii="Times New Roman" w:hAnsi="Times New Roman"/>
          <w:b w:val="0"/>
          <w:i w:val="0"/>
          <w:sz w:val="20"/>
          <w:vertAlign w:val="superscript"/>
        </w:rPr>
        <w:t>4-6</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w:t>
      </w:r>
      <w:r>
        <w:rPr>
          <w:rFonts w:ascii="Times New Roman" w:hAnsi="Times New Roman"/>
          <w:b w:val="0"/>
          <w:i w:val="0"/>
          <w:sz w:val="20"/>
          <w:vertAlign w:val="superscript"/>
        </w:rPr>
        <w:t>7</w:t>
      </w:r>
      <w:r>
        <w:rPr>
          <w:rFonts w:ascii="Times New Roman" w:hAnsi="Times New Roman"/>
          <w:b w:val="0"/>
          <w:i w:val="0"/>
          <w:sz w:val="24"/>
        </w:rPr>
        <w:t xml:space="preserve"> Although the physician was acquitted in 2008, the case precipitated widespread concern among physicians and is widely regarded as a catalyst for the subsequent decline in obstetricians willing to provide delivery services.</w:t>
      </w:r>
      <w:r>
        <w:rPr>
          <w:rFonts w:ascii="Times New Roman" w:hAnsi="Times New Roman"/>
          <w:b w:val="0"/>
          <w:i w:val="0"/>
          <w:sz w:val="20"/>
          <w:vertAlign w:val="superscript"/>
        </w:rPr>
        <w:t>8,9</w:t>
      </w:r>
      <w:r>
        <w:rPr>
          <w:rFonts w:ascii="Times New Roman" w:hAnsi="Times New Roman"/>
          <w:b w:val="0"/>
          <w:i w:val="0"/>
          <w:sz w:val="24"/>
        </w:rPr>
        <w:t xml:space="preserve"> Morita estimated a 13% decrease in obstetricians in the affected prefecture using difference-in-differences and synthetic control methods.</w:t>
      </w:r>
      <w:r>
        <w:rPr>
          <w:rFonts w:ascii="Times New Roman" w:hAnsi="Times New Roman"/>
          <w:b w:val="0"/>
          <w:i w:val="0"/>
          <w:sz w:val="20"/>
          <w:vertAlign w:val="superscript"/>
        </w:rPr>
        <w:t>10</w:t>
      </w:r>
      <w:r>
        <w:rPr>
          <w:rFonts w:ascii="Times New Roman" w:hAnsi="Times New Roman"/>
          <w:b w:val="0"/>
          <w:i w:val="0"/>
          <w:sz w:val="24"/>
        </w:rPr>
        <w:t xml:space="preserve">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w:t>
      </w:r>
      <w:r>
        <w:rPr>
          <w:rFonts w:ascii="Times New Roman" w:hAnsi="Times New Roman"/>
          <w:b w:val="0"/>
          <w:i w:val="0"/>
          <w:sz w:val="20"/>
          <w:vertAlign w:val="superscript"/>
        </w:rPr>
        <w:t>11</w:t>
      </w:r>
      <w:r>
        <w:rPr>
          <w:rFonts w:ascii="Times New Roman" w:hAnsi="Times New Roman"/>
          <w:b w:val="0"/>
          <w:i w:val="0"/>
          <w:sz w:val="24"/>
        </w:rPr>
        <w:t xml:space="preserve"> Second, the Supreme Court of Japan publishes annual statistics on medical malpractice litigation by specialty.</w:t>
      </w:r>
      <w:r>
        <w:rPr>
          <w:rFonts w:ascii="Times New Roman" w:hAnsi="Times New Roman"/>
          <w:b w:val="0"/>
          <w:i w:val="0"/>
          <w:sz w:val="20"/>
          <w:vertAlign w:val="superscript"/>
        </w:rPr>
        <w:t>12,13</w:t>
      </w:r>
      <w:r>
        <w:rPr>
          <w:rFonts w:ascii="Times New Roman" w:hAnsi="Times New Roman"/>
          <w:b w:val="0"/>
          <w:i w:val="0"/>
          <w:sz w:val="24"/>
        </w:rPr>
        <w:t xml:space="preserve">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w:t>
      </w:r>
      <w:r>
        <w:rPr>
          <w:rFonts w:ascii="Times New Roman" w:hAnsi="Times New Roman"/>
          <w:b w:val="0"/>
          <w:i w:val="0"/>
          <w:sz w:val="20"/>
          <w:vertAlign w:val="superscript"/>
        </w:rPr>
        <w:t>14,15</w:t>
      </w:r>
      <w:r>
        <w:rPr>
          <w:rFonts w:ascii="Times New Roman" w:hAnsi="Times New Roman"/>
          <w:b w:val="0"/>
          <w:i w:val="0"/>
          <w:sz w:val="24"/>
        </w:rPr>
        <w:t xml:space="preserve"> which extends the Strengthening the Reporting of Observational Studies in Epidemiology (STROBE) guidelines, and the Cochrane Effective Practice and Organisation of Care (EPOC) criteria for interrupted time series studies.</w:t>
      </w:r>
      <w:r>
        <w:rPr>
          <w:rFonts w:ascii="Times New Roman" w:hAnsi="Times New Roman"/>
          <w:b w:val="0"/>
          <w:i w:val="0"/>
          <w:sz w:val="20"/>
          <w:vertAlign w:val="superscript"/>
        </w:rPr>
        <w:t>16</w:t>
      </w:r>
      <w:r>
        <w:rPr>
          <w:rFonts w:ascii="Times New Roman" w:hAnsi="Times New Roman"/>
          <w:b w:val="0"/>
          <w:i w:val="0"/>
          <w:sz w:val="24"/>
        </w:rPr>
        <w:t xml:space="preserve">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w:t>
      </w:r>
      <w:r>
        <w:rPr>
          <w:rFonts w:ascii="Times New Roman" w:hAnsi="Times New Roman"/>
          <w:b w:val="0"/>
          <w:i w:val="0"/>
          <w:sz w:val="20"/>
          <w:vertAlign w:val="superscript"/>
        </w:rPr>
        <w:t>11</w:t>
      </w:r>
      <w:r>
        <w:rPr>
          <w:rFonts w:ascii="Times New Roman" w:hAnsi="Times New Roman"/>
          <w:b w:val="0"/>
          <w:i w:val="0"/>
          <w:sz w:val="24"/>
        </w:rPr>
        <w:t xml:space="preserve">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w:t>
      </w:r>
      <w:r>
        <w:rPr>
          <w:rFonts w:ascii="Times New Roman" w:hAnsi="Times New Roman"/>
          <w:b w:val="0"/>
          <w:i w:val="0"/>
          <w:sz w:val="20"/>
          <w:vertAlign w:val="superscript"/>
        </w:rPr>
        <w:t>12</w:t>
      </w:r>
      <w:r>
        <w:rPr>
          <w:rFonts w:ascii="Times New Roman" w:hAnsi="Times New Roman"/>
          <w:b w:val="0"/>
          <w:i w:val="0"/>
          <w:sz w:val="24"/>
        </w:rPr>
        <w:t xml:space="preserve">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w:t>
      </w:r>
      <w:r>
        <w:rPr>
          <w:rFonts w:ascii="Times New Roman" w:hAnsi="Times New Roman"/>
          <w:b w:val="0"/>
          <w:i w:val="0"/>
          <w:sz w:val="20"/>
          <w:vertAlign w:val="superscript"/>
        </w:rPr>
        <w:t>17</w:t>
      </w:r>
      <w:r>
        <w:rPr>
          <w:rFonts w:ascii="Times New Roman" w:hAnsi="Times New Roman"/>
          <w:b w:val="0"/>
          <w:i w:val="0"/>
          <w:sz w:val="24"/>
        </w:rPr>
        <w:t xml:space="preserve">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w:t>
      </w:r>
      <w:r>
        <w:rPr>
          <w:rFonts w:ascii="Times New Roman" w:hAnsi="Times New Roman"/>
          <w:b w:val="0"/>
          <w:i w:val="0"/>
          <w:sz w:val="20"/>
          <w:vertAlign w:val="superscript"/>
        </w:rPr>
        <w:t>18</w:t>
      </w:r>
      <w:r>
        <w:rPr>
          <w:rFonts w:ascii="Times New Roman" w:hAnsi="Times New Roman"/>
          <w:b w:val="0"/>
          <w:i w:val="0"/>
          <w:sz w:val="24"/>
        </w:rPr>
        <w:t xml:space="preserve">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w:t>
      </w:r>
      <w:r>
        <w:rPr>
          <w:rFonts w:ascii="Times New Roman" w:hAnsi="Times New Roman"/>
          <w:b w:val="0"/>
          <w:i w:val="0"/>
          <w:sz w:val="20"/>
          <w:vertAlign w:val="superscript"/>
        </w:rPr>
        <w:t>19</w:t>
      </w:r>
      <w:r>
        <w:rPr>
          <w:rFonts w:ascii="Times New Roman" w:hAnsi="Times New Roman"/>
          <w:b w:val="0"/>
          <w:i w:val="0"/>
          <w:sz w:val="24"/>
        </w:rPr>
        <w:t xml:space="preserve">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 following established ITS methodology:</w:t>
      </w:r>
      <w:r>
        <w:rPr>
          <w:rFonts w:ascii="Times New Roman" w:hAnsi="Times New Roman"/>
          <w:b w:val="0"/>
          <w:i w:val="0"/>
          <w:sz w:val="20"/>
          <w:vertAlign w:val="superscript"/>
        </w:rPr>
        <w:t>20-22</w:t>
      </w:r>
    </w:p>
    <w:p>
      <w:pPr>
        <w:spacing w:after="240" w:line="480" w:lineRule="auto"/>
        <w:jc w:val="center"/>
      </w:pPr>
      <w:r>
        <w:rPr>
          <w:rFonts w:ascii="Times New Roman" w:hAnsi="Times New Roman"/>
          <w:i/>
          <w:sz w:val="24"/>
        </w:rPr>
        <w:t>Yₜ = beta₀ + beta₁*timeₜ + beta₂*interventionₜ + beta₃*time_afterₜ + beta₄*accident_rateₜ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w:t>
      </w:r>
      <w:r>
        <w:rPr>
          <w:rFonts w:ascii="Times New Roman" w:hAnsi="Times New Roman"/>
          <w:b w:val="0"/>
          <w:i w:val="0"/>
          <w:sz w:val="20"/>
          <w:vertAlign w:val="superscript"/>
        </w:rPr>
        <w:t>23-25</w:t>
      </w:r>
      <w:r>
        <w:rPr>
          <w:rFonts w:ascii="Times New Roman" w:hAnsi="Times New Roman"/>
          <w:b w:val="0"/>
          <w:i w:val="0"/>
          <w:sz w:val="24"/>
        </w:rPr>
        <w:t xml:space="preserve">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No patients or members of the public were directly involved in the design, conduct, or reporting of this research. This study used exclusively publicly available, aggregated administrative data from national registries (physician workforce statistics, healthcare facility surveys, medical safety incident reports, and litigation statistics). No individual patient data were accessed. We plan to disseminate the findings through open-access publication and policy-oriented summaries to relevant professional organisations.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6048637"/>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6048637"/>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 The complete set of cross-correlation coefficients at optimal lag for all combinations is provided in supplementary table S3. Figure 2 shows the full cross-correlation function plots at lags -8 to +8 years for all 12 specialties.</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jc w:val="center"/>
      </w:pPr>
      <w:r>
        <w:drawing>
          <wp:inline xmlns:a="http://schemas.openxmlformats.org/drawingml/2006/main" xmlns:pic="http://schemas.openxmlformats.org/drawingml/2006/picture">
            <wp:extent cx="5943600" cy="6885012"/>
            <wp:docPr id="2" name="Picture 2"/>
            <wp:cNvGraphicFramePr>
              <a:graphicFrameLocks noChangeAspect="1"/>
            </wp:cNvGraphicFramePr>
            <a:graphic>
              <a:graphicData uri="http://schemas.openxmlformats.org/drawingml/2006/picture">
                <pic:pic>
                  <pic:nvPicPr>
                    <pic:cNvPr id="0" name="ccf_plots.png"/>
                    <pic:cNvPicPr/>
                  </pic:nvPicPr>
                  <pic:blipFill>
                    <a:blip r:embed="rId10"/>
                    <a:stretch>
                      <a:fillRect/>
                    </a:stretch>
                  </pic:blipFill>
                  <pic:spPr>
                    <a:xfrm>
                      <a:off x="0" y="0"/>
                      <a:ext cx="5943600" cy="6885012"/>
                    </a:xfrm>
                    <a:prstGeom prst="rect"/>
                  </pic:spPr>
                </pic:pic>
              </a:graphicData>
            </a:graphic>
          </wp:inline>
        </w:drawing>
      </w:r>
    </w:p>
    <w:p>
      <w:pPr>
        <w:spacing w:after="240" w:line="480" w:lineRule="auto"/>
        <w:jc w:val="left"/>
      </w:pPr>
      <w:r>
        <w:rPr>
          <w:rFonts w:ascii="Times New Roman" w:hAnsi="Times New Roman"/>
          <w:i/>
          <w:sz w:val="20"/>
        </w:rPr>
        <w:t>Figure 2. Cross-correlation functions between incident counts (JMSR, litigation, and composite) and physician numbers (detrended) at lags -8 to +8 years for the 12 core specialties. Squares indicate the lag with the most negative correlation for each definition. Positive lags indicate that changes in incident counts precede changes in physician numbers.</w:t>
      </w:r>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spacing w:after="120" w:line="480" w:lineRule="auto"/>
      </w:pPr>
      <w:r>
        <w:rPr>
          <w:rFonts w:ascii="Times New Roman" w:hAnsi="Times New Roman"/>
          <w:b w:val="0"/>
          <w:i w:val="0"/>
          <w:sz w:val="24"/>
        </w:rPr>
        <w:t>Notably, several specialty-definition combinations yielded negative lag values, indicating that workforce changes preceded changes in incident reporting. Anaesthesiology showed a lag of -4 years against the composite incident definition (r = -0.959), and otolaryngology trainees showed a lag of -3 years against JMSR reports (r = -0.941). These negative lags raise the possibility of reverse causality: rather than safety incidents driving workforce decline, workforce shortages in these specialties may have preceded and contributed to increased incident reporting (see Discussion).</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72 ITS segmented regression models were fitted across the three definitions. The median model R² was 0.997, reflecting the strong secular trends in both incident and outcome data. Full results for all 72 models are provided in supplementary table S2. The ITS plots for physician counts under Definition 1 (JMSR) and Definition 2 (litigation) are shown in figures 3 and 4, respectively.</w:t>
      </w:r>
    </w:p>
    <w:p>
      <w:pPr>
        <w:jc w:val="center"/>
      </w:pPr>
      <w:r>
        <w:drawing>
          <wp:inline xmlns:a="http://schemas.openxmlformats.org/drawingml/2006/main" xmlns:pic="http://schemas.openxmlformats.org/drawingml/2006/picture">
            <wp:extent cx="5486400" cy="7147943"/>
            <wp:docPr id="3" name="Picture 3"/>
            <wp:cNvGraphicFramePr>
              <a:graphicFrameLocks noChangeAspect="1"/>
            </wp:cNvGraphicFramePr>
            <a:graphic>
              <a:graphicData uri="http://schemas.openxmlformats.org/drawingml/2006/picture">
                <pic:pic>
                  <pic:nvPicPr>
                    <pic:cNvPr id="0" name="its_physicians_def1.png"/>
                    <pic:cNvPicPr/>
                  </pic:nvPicPr>
                  <pic:blipFill>
                    <a:blip r:embed="rId11"/>
                    <a:stretch>
                      <a:fillRect/>
                    </a:stretch>
                  </pic:blipFill>
                  <pic:spPr>
                    <a:xfrm>
                      <a:off x="0" y="0"/>
                      <a:ext cx="5486400" cy="7147943"/>
                    </a:xfrm>
                    <a:prstGeom prst="rect"/>
                  </pic:spPr>
                </pic:pic>
              </a:graphicData>
            </a:graphic>
          </wp:inline>
        </w:drawing>
      </w:r>
    </w:p>
    <w:p>
      <w:pPr>
        <w:spacing w:after="240" w:line="480" w:lineRule="auto"/>
        <w:jc w:val="left"/>
      </w:pPr>
      <w:r>
        <w:rPr>
          <w:rFonts w:ascii="Times New Roman" w:hAnsi="Times New Roman"/>
          <w:i/>
          <w:sz w:val="20"/>
        </w:rPr>
        <w:t>Figure 3. Interrupted time series plots for physician counts against JMSR incident reports (Definition 1) for the 12 core specialties. Fitted segmented regression lines are shown with the vertical dashed line indicating the intervention year (year of peak incident reporting).</w:t>
      </w:r>
    </w:p>
    <w:p>
      <w:pPr>
        <w:jc w:val="center"/>
      </w:pPr>
      <w:r>
        <w:drawing>
          <wp:inline xmlns:a="http://schemas.openxmlformats.org/drawingml/2006/main" xmlns:pic="http://schemas.openxmlformats.org/drawingml/2006/picture">
            <wp:extent cx="5486400" cy="7147943"/>
            <wp:docPr id="4" name="Picture 4"/>
            <wp:cNvGraphicFramePr>
              <a:graphicFrameLocks noChangeAspect="1"/>
            </wp:cNvGraphicFramePr>
            <a:graphic>
              <a:graphicData uri="http://schemas.openxmlformats.org/drawingml/2006/picture">
                <pic:pic>
                  <pic:nvPicPr>
                    <pic:cNvPr id="0" name="its_physicians_def2.png"/>
                    <pic:cNvPicPr/>
                  </pic:nvPicPr>
                  <pic:blipFill>
                    <a:blip r:embed="rId12"/>
                    <a:stretch>
                      <a:fillRect/>
                    </a:stretch>
                  </pic:blipFill>
                  <pic:spPr>
                    <a:xfrm>
                      <a:off x="0" y="0"/>
                      <a:ext cx="5486400" cy="7147943"/>
                    </a:xfrm>
                    <a:prstGeom prst="rect"/>
                  </pic:spPr>
                </pic:pic>
              </a:graphicData>
            </a:graphic>
          </wp:inline>
        </w:drawing>
      </w:r>
    </w:p>
    <w:p>
      <w:pPr>
        <w:spacing w:after="240" w:line="480" w:lineRule="auto"/>
        <w:jc w:val="left"/>
      </w:pPr>
      <w:r>
        <w:rPr>
          <w:rFonts w:ascii="Times New Roman" w:hAnsi="Times New Roman"/>
          <w:i/>
          <w:sz w:val="20"/>
        </w:rPr>
        <w:t>Figure 4. Interrupted time series plots for physician counts against medical malpractice litigation statistics (Definition 2) for the 12 core specialties. Panels marked [R] denote specialties where litigation peaked in the first available year (2004), necessitating a reduced model (trend + accident effect only, without intervention level change or slope change terms) owing to insufficient pre-intervention data. Fitted regression lines are shown with the vertical dashed line indicating the intervention year.</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 The estimated lead times across all combinations are summarised in figure 5.</w:t>
      </w:r>
    </w:p>
    <w:p>
      <w:pPr>
        <w:jc w:val="center"/>
      </w:pPr>
      <w:r>
        <w:drawing>
          <wp:inline xmlns:a="http://schemas.openxmlformats.org/drawingml/2006/main" xmlns:pic="http://schemas.openxmlformats.org/drawingml/2006/picture">
            <wp:extent cx="5486400" cy="2751340"/>
            <wp:docPr id="5" name="Picture 5"/>
            <wp:cNvGraphicFramePr>
              <a:graphicFrameLocks noChangeAspect="1"/>
            </wp:cNvGraphicFramePr>
            <a:graphic>
              <a:graphicData uri="http://schemas.openxmlformats.org/drawingml/2006/picture">
                <pic:pic>
                  <pic:nvPicPr>
                    <pic:cNvPr id="0" name="lead_time_heatmap.png"/>
                    <pic:cNvPicPr/>
                  </pic:nvPicPr>
                  <pic:blipFill>
                    <a:blip r:embed="rId13"/>
                    <a:stretch>
                      <a:fillRect/>
                    </a:stretch>
                  </pic:blipFill>
                  <pic:spPr>
                    <a:xfrm>
                      <a:off x="0" y="0"/>
                      <a:ext cx="5486400" cy="2751340"/>
                    </a:xfrm>
                    <a:prstGeom prst="rect"/>
                  </pic:spPr>
                </pic:pic>
              </a:graphicData>
            </a:graphic>
          </wp:inline>
        </w:drawing>
      </w:r>
    </w:p>
    <w:p>
      <w:pPr>
        <w:spacing w:after="240" w:line="480" w:lineRule="auto"/>
        <w:jc w:val="left"/>
      </w:pPr>
      <w:r>
        <w:rPr>
          <w:rFonts w:ascii="Times New Roman" w:hAnsi="Times New Roman"/>
          <w:i/>
          <w:sz w:val="20"/>
        </w:rPr>
        <w:t>Figure 5.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(table 3).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 Full window period estimates for all specialty-definition-outcome combinations are provided in supplementary table S4.</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spacing w:after="120" w:line="480" w:lineRule="auto"/>
      </w:pPr>
      <w:r>
        <w:rPr>
          <w:rFonts w:ascii="Times New Roman" w:hAnsi="Times New Roman"/>
          <w:b w:val="0"/>
          <w:i w:val="0"/>
          <w:sz w:val="24"/>
        </w:rPr>
        <w:t>Corresponding ITS plots for facility counts under Definition 1 (JMSR) are shown in figure 6.</w:t>
      </w:r>
    </w:p>
    <w:p>
      <w:pPr>
        <w:jc w:val="center"/>
      </w:pPr>
      <w:r>
        <w:drawing>
          <wp:inline xmlns:a="http://schemas.openxmlformats.org/drawingml/2006/main" xmlns:pic="http://schemas.openxmlformats.org/drawingml/2006/picture">
            <wp:extent cx="5486400" cy="7147943"/>
            <wp:docPr id="6" name="Picture 6"/>
            <wp:cNvGraphicFramePr>
              <a:graphicFrameLocks noChangeAspect="1"/>
            </wp:cNvGraphicFramePr>
            <a:graphic>
              <a:graphicData uri="http://schemas.openxmlformats.org/drawingml/2006/picture">
                <pic:pic>
                  <pic:nvPicPr>
                    <pic:cNvPr id="0" name="its_facilities_def1.png"/>
                    <pic:cNvPicPr/>
                  </pic:nvPicPr>
                  <pic:blipFill>
                    <a:blip r:embed="rId14"/>
                    <a:stretch>
                      <a:fillRect/>
                    </a:stretch>
                  </pic:blipFill>
                  <pic:spPr>
                    <a:xfrm>
                      <a:off x="0" y="0"/>
                      <a:ext cx="5486400" cy="7147943"/>
                    </a:xfrm>
                    <a:prstGeom prst="rect"/>
                  </pic:spPr>
                </pic:pic>
              </a:graphicData>
            </a:graphic>
          </wp:inline>
        </w:drawing>
      </w:r>
    </w:p>
    <w:p>
      <w:pPr>
        <w:spacing w:after="240" w:line="480" w:lineRule="auto"/>
        <w:jc w:val="left"/>
      </w:pPr>
      <w:r>
        <w:rPr>
          <w:rFonts w:ascii="Times New Roman" w:hAnsi="Times New Roman"/>
          <w:i/>
          <w:sz w:val="20"/>
        </w:rPr>
        <w:t>Figure 6.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 Projected trends for physician counts, facility counts, and trainee enrolments are shown in figures 7, 8, and 9, respectively.</w:t>
      </w:r>
    </w:p>
    <w:p>
      <w:pPr>
        <w:jc w:val="center"/>
      </w:pPr>
      <w:r>
        <w:drawing>
          <wp:inline xmlns:a="http://schemas.openxmlformats.org/drawingml/2006/main" xmlns:pic="http://schemas.openxmlformats.org/drawingml/2006/picture">
            <wp:extent cx="5486400" cy="6112890"/>
            <wp:docPr id="7" name="Picture 7"/>
            <wp:cNvGraphicFramePr>
              <a:graphicFrameLocks noChangeAspect="1"/>
            </wp:cNvGraphicFramePr>
            <a:graphic>
              <a:graphicData uri="http://schemas.openxmlformats.org/drawingml/2006/picture">
                <pic:pic>
                  <pic:nvPicPr>
                    <pic:cNvPr id="0" name="forecast_physicians.png"/>
                    <pic:cNvPicPr/>
                  </pic:nvPicPr>
                  <pic:blipFill>
                    <a:blip r:embed="rId15"/>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7.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8" name="Picture 8"/>
            <wp:cNvGraphicFramePr>
              <a:graphicFrameLocks noChangeAspect="1"/>
            </wp:cNvGraphicFramePr>
            <a:graphic>
              <a:graphicData uri="http://schemas.openxmlformats.org/drawingml/2006/picture">
                <pic:pic>
                  <pic:nvPicPr>
                    <pic:cNvPr id="0" name="forecast_facilities.png"/>
                    <pic:cNvPicPr/>
                  </pic:nvPicPr>
                  <pic:blipFill>
                    <a:blip r:embed="rId16"/>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8.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9" name="Picture 9"/>
            <wp:cNvGraphicFramePr>
              <a:graphicFrameLocks noChangeAspect="1"/>
            </wp:cNvGraphicFramePr>
            <a:graphic>
              <a:graphicData uri="http://schemas.openxmlformats.org/drawingml/2006/picture">
                <pic:pic>
                  <pic:nvPicPr>
                    <pic:cNvPr id="0" name="forecast_trainees.png"/>
                    <pic:cNvPicPr/>
                  </pic:nvPicPr>
                  <pic:blipFill>
                    <a:blip r:embed="rId17"/>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9.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w:t>
      </w:r>
      <w:r>
        <w:rPr>
          <w:rFonts w:ascii="Times New Roman" w:hAnsi="Times New Roman"/>
          <w:b w:val="0"/>
          <w:i w:val="0"/>
          <w:sz w:val="20"/>
          <w:vertAlign w:val="superscript"/>
        </w:rPr>
        <w:t>10,26</w:t>
      </w:r>
      <w:r>
        <w:rPr>
          <w:rFonts w:ascii="Times New Roman" w:hAnsi="Times New Roman"/>
          <w:b w:val="0"/>
          <w:i w:val="0"/>
          <w:sz w:val="24"/>
        </w:rPr>
        <w:t xml:space="preserve">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w:t>
      </w:r>
      <w:r>
        <w:rPr>
          <w:rFonts w:ascii="Times New Roman" w:hAnsi="Times New Roman"/>
          <w:b w:val="0"/>
          <w:i w:val="0"/>
          <w:sz w:val="20"/>
          <w:vertAlign w:val="superscript"/>
        </w:rPr>
        <w:t>10</w:t>
      </w:r>
      <w:r>
        <w:rPr>
          <w:rFonts w:ascii="Times New Roman" w:hAnsi="Times New Roman"/>
          <w:b w:val="0"/>
          <w:i w:val="0"/>
          <w:sz w:val="24"/>
        </w:rPr>
        <w:t xml:space="preserve"> and with the broader literature on malpractice-driven specialty avoidance.</w:t>
      </w:r>
      <w:r>
        <w:rPr>
          <w:rFonts w:ascii="Times New Roman" w:hAnsi="Times New Roman"/>
          <w:b w:val="0"/>
          <w:i w:val="0"/>
          <w:sz w:val="20"/>
          <w:vertAlign w:val="superscript"/>
        </w:rPr>
        <w:t>1-3</w:t>
      </w:r>
      <w:r>
        <w:rPr>
          <w:rFonts w:ascii="Times New Roman" w:hAnsi="Times New Roman"/>
          <w:b w:val="0"/>
          <w:i w:val="0"/>
          <w:sz w:val="24"/>
        </w:rPr>
        <w:t xml:space="preserve"> Studdert and colleagues reported that 42% of physicians in high-risk specialties had restricted their practice in response to malpractice concerns,</w:t>
      </w:r>
      <w:r>
        <w:rPr>
          <w:rFonts w:ascii="Times New Roman" w:hAnsi="Times New Roman"/>
          <w:b w:val="0"/>
          <w:i w:val="0"/>
          <w:sz w:val="20"/>
          <w:vertAlign w:val="superscript"/>
        </w:rPr>
        <w:t>1</w:t>
      </w:r>
      <w:r>
        <w:rPr>
          <w:rFonts w:ascii="Times New Roman" w:hAnsi="Times New Roman"/>
          <w:b w:val="0"/>
          <w:i w:val="0"/>
          <w:sz w:val="24"/>
        </w:rPr>
        <w:t xml:space="preserve"> and Klick and Stratmann found that tort reforms increased the supply of physicians in high-risk specialties.</w:t>
      </w:r>
      <w:r>
        <w:rPr>
          <w:rFonts w:ascii="Times New Roman" w:hAnsi="Times New Roman"/>
          <w:b w:val="0"/>
          <w:i w:val="0"/>
          <w:sz w:val="20"/>
          <w:vertAlign w:val="superscript"/>
        </w:rPr>
        <w:t>4,27,28</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Directionality of causation: interpreting negative lag values</w:t>
      </w:r>
    </w:p>
    <w:p>
      <w:pPr>
        <w:spacing w:after="120" w:line="480" w:lineRule="auto"/>
      </w:pPr>
      <w:r>
        <w:rPr>
          <w:rFonts w:ascii="Times New Roman" w:hAnsi="Times New Roman"/>
          <w:b w:val="0"/>
          <w:i w:val="0"/>
          <w:sz w:val="24"/>
        </w:rPr>
        <w:t>The cross-correlation analysis revealed that several specialty-definition combinations yielded negative lag values (table 1). A negative lag indicates that the workforce outcome variable changed before the incident variable—that is, physician or trainee numbers declined before incident reports increased. This finding is important because it is consistent with a reverse causal pathway: workforce depletion may itself be a driver of safety incidents, rather than (or in addition to) incidents driving workforce decline.</w:t>
      </w:r>
    </w:p>
    <w:p>
      <w:pPr>
        <w:spacing w:after="120" w:line="480" w:lineRule="auto"/>
      </w:pPr>
      <w:r>
        <w:rPr>
          <w:rFonts w:ascii="Times New Roman" w:hAnsi="Times New Roman"/>
          <w:b w:val="0"/>
          <w:i w:val="0"/>
          <w:sz w:val="24"/>
        </w:rPr>
        <w:t>Anaesthesiology is a notable example. The -4 year lag against the composite incident definition (r = -0.959) suggests that reductions in the anaesthesiology workforce may have preceded the subsequent increase in reported incidents. This is mechanistically plausible: understaffed departments face higher per-physician caseloads, fatigue, and reduced supervision of trainees, all of which are established risk factors for adverse events.</w:t>
      </w:r>
      <w:r>
        <w:rPr>
          <w:rFonts w:ascii="Times New Roman" w:hAnsi="Times New Roman"/>
          <w:b w:val="0"/>
          <w:i w:val="0"/>
          <w:sz w:val="20"/>
          <w:vertAlign w:val="superscript"/>
        </w:rPr>
        <w:t>25,27</w:t>
      </w:r>
      <w:r>
        <w:rPr>
          <w:rFonts w:ascii="Times New Roman" w:hAnsi="Times New Roman"/>
          <w:b w:val="0"/>
          <w:i w:val="0"/>
          <w:sz w:val="24"/>
        </w:rPr>
        <w:t xml:space="preserve"> Similarly, the -3 year lag for otolaryngology trainees implies that declining trainee enrolment preceded rather than followed incident reports.</w:t>
      </w:r>
    </w:p>
    <w:p>
      <w:pPr>
        <w:spacing w:after="120" w:line="480" w:lineRule="auto"/>
      </w:pPr>
      <w:r>
        <w:rPr>
          <w:rFonts w:ascii="Times New Roman" w:hAnsi="Times New Roman"/>
          <w:b w:val="0"/>
          <w:i w:val="0"/>
          <w:sz w:val="24"/>
        </w:rPr>
        <w:t>These findings suggest a potentially bidirectional relationship between safety incidents and workforce dynamics. For specialties with positive lags (e.g. obstetrics and gynaecology, +3 years), the temporal sequence is consistent with the hypothesised ‘incident → avoidance’ pathway: high-profile incidents deter entry and accelerate exit, leading to workforce contraction after a delay. For specialties with negative lags, the reverse pathway—‘workforce shortage → overwork → increased incidents’—may be operative. A vicious cycle in which both pathways reinforce each other is also plausible: workforce shortages lead to more incidents, which further deter recruitment, leading to further shortages.</w:t>
      </w:r>
    </w:p>
    <w:p>
      <w:pPr>
        <w:spacing w:after="120" w:line="480" w:lineRule="auto"/>
      </w:pPr>
      <w:r>
        <w:rPr>
          <w:rFonts w:ascii="Times New Roman" w:hAnsi="Times New Roman"/>
          <w:b w:val="0"/>
          <w:i w:val="0"/>
          <w:sz w:val="24"/>
        </w:rPr>
        <w:t>Distinguishing these pathways has direct policy implications. If the dominant direction is incident → avoidance, interventions should focus on improving public perception and professional support after incidents. If the dominant direction is shortage → incidents, workforce augmentation and workload reduction become the priority. The coexistence of both positive and negative lags across specialties in our data suggests that both mechanisms may be active, and that the relative importance may vary by specialty context.</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w:t>
      </w:r>
      <w:r>
        <w:rPr>
          <w:rFonts w:ascii="Times New Roman" w:hAnsi="Times New Roman"/>
          <w:b w:val="0"/>
          <w:i w:val="0"/>
          <w:sz w:val="20"/>
          <w:vertAlign w:val="superscript"/>
        </w:rPr>
        <w:t>16</w:t>
      </w:r>
      <w:r>
        <w:rPr>
          <w:rFonts w:ascii="Times New Roman" w:hAnsi="Times New Roman"/>
          <w:b w:val="0"/>
          <w:i w:val="0"/>
          <w:sz w:val="24"/>
        </w:rPr>
        <w:t xml:space="preserve">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The observation of both positive and negative lag values across specialties indicates that the causal direction may not be uniform, and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14.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16. Cochrane Effective Practice and Organisation of Care (EPOC). Interrupted time series (ITS) analyses. EPOC resources for review authors. 2017.</w:t>
      </w:r>
    </w:p>
    <w:p>
      <w:pPr>
        <w:spacing w:line="480" w:lineRule="auto" w:after="40"/>
      </w:pPr>
      <w:r>
        <w:rPr>
          <w:rFonts w:ascii="Times New Roman" w:hAnsi="Times New Roman"/>
          <w:sz w:val="20"/>
        </w:rPr>
        <w:t>17. Ministry of Health, Labour and Welfare. Survey of physicians, dentists, and pharmacists. Tokyo: MHLW; 2023. [in Japanese]</w:t>
      </w:r>
    </w:p>
    <w:p>
      <w:pPr>
        <w:spacing w:line="480" w:lineRule="auto" w:after="40"/>
      </w:pPr>
      <w:r>
        <w:rPr>
          <w:rFonts w:ascii="Times New Roman" w:hAnsi="Times New Roman"/>
          <w:sz w:val="20"/>
        </w:rPr>
        <w:t>18. Ministry of Health, Labour and Welfare. Survey of medical institutions (dynamic survey). Tokyo: MHLW; 2024. [in Japanese]</w:t>
      </w:r>
    </w:p>
    <w:p>
      <w:pPr>
        <w:spacing w:line="480" w:lineRule="auto" w:after="40"/>
      </w:pPr>
      <w:r>
        <w:rPr>
          <w:rFonts w:ascii="Times New Roman" w:hAnsi="Times New Roman"/>
          <w:sz w:val="20"/>
        </w:rPr>
        <w:t>19. Japan Board of Medical Specialties. Specialist trainee registration statistics. Tokyo: JBMS; 2025. [in Japanese]</w:t>
      </w:r>
    </w:p>
    <w:p>
      <w:pPr>
        <w:spacing w:line="480" w:lineRule="auto" w:after="40"/>
      </w:pPr>
      <w:r>
        <w:rPr>
          <w:rFonts w:ascii="Times New Roman" w:hAnsi="Times New Roman"/>
          <w:sz w:val="20"/>
        </w:rPr>
        <w:t>20. Penfold RB, Zhang F. Use of interrupted time series analysis in evaluating health care quality improvements. Acad Pediatr 2013;13:S38-44.</w:t>
      </w:r>
    </w:p>
    <w:p>
      <w:pPr>
        <w:spacing w:line="480" w:lineRule="auto" w:after="40"/>
      </w:pPr>
      <w:r>
        <w:rPr>
          <w:rFonts w:ascii="Times New Roman" w:hAnsi="Times New Roman"/>
          <w:sz w:val="20"/>
        </w:rPr>
        <w:t>21.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22.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23. Harris CR, Millman KJ, van der Walt SJ, et al. Array programming with NumPy. Nature 2020;585:357-62.</w:t>
      </w:r>
    </w:p>
    <w:p>
      <w:pPr>
        <w:spacing w:line="480" w:lineRule="auto" w:after="40"/>
      </w:pPr>
      <w:r>
        <w:rPr>
          <w:rFonts w:ascii="Times New Roman" w:hAnsi="Times New Roman"/>
          <w:sz w:val="20"/>
        </w:rPr>
        <w:t>24. Virtanen P, Gommers R, Oliphant TE, et al. SciPy 1.0: fundamental algorithms for scientific computing in Python. Nat Methods 2020;17:261-72.</w:t>
      </w:r>
    </w:p>
    <w:p>
      <w:pPr>
        <w:spacing w:line="480" w:lineRule="auto" w:after="40"/>
      </w:pPr>
      <w:r>
        <w:rPr>
          <w:rFonts w:ascii="Times New Roman" w:hAnsi="Times New Roman"/>
          <w:sz w:val="20"/>
        </w:rPr>
        <w:t>25.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International Committee of Medical Journal Editors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https://github.com/bougtoir/medical-accident-its-analysis.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p>
      <w:r>
        <w:br w:type="page"/>
      </w:r>
    </w:p>
    <w:p>
      <w:pPr>
        <w:pStyle w:val="Heading1"/>
      </w:pPr>
      <w:r>
        <w:rPr>
          <w:rFonts w:ascii="Times New Roman" w:hAnsi="Times New Roman"/>
          <w:color w:val="000000"/>
        </w:rPr>
        <w:t>Supplementary Materials</w:t>
      </w:r>
    </w:p>
    <w:p>
      <w:pPr>
        <w:pStyle w:val="Heading2"/>
      </w:pPr>
      <w:r>
        <w:rPr>
          <w:rFonts w:ascii="Times New Roman" w:hAnsi="Times New Roman"/>
          <w:color w:val="000000"/>
        </w:rPr>
        <w:t>Supplementary Table S1. Completed RECORD Checklist</w:t>
      </w:r>
    </w:p>
    <w:p>
      <w:pPr>
        <w:spacing w:after="240" w:line="480" w:lineRule="auto"/>
      </w:pPr>
      <w:r>
        <w:rPr>
          <w:rFonts w:ascii="Times New Roman" w:hAnsi="Times New Roman"/>
          <w:b w:val="0"/>
          <w:i/>
          <w:sz w:val="24"/>
        </w:rPr>
        <w:t>The RECORD statement extends the STROBE checklist for observational studies conducted using routinely collected health data. Items are numbered per the RECORD guideline (Benchimol et al., PLoS Med 2015;12:e1001885).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6"/>
              </w:rPr>
              <w:t>Item No.</w:t>
            </w:r>
          </w:p>
        </w:tc>
        <w:tc>
          <w:tcPr>
            <w:tcW w:type="dxa" w:w="3120"/>
          </w:tcPr>
          <w:p>
            <w:pPr>
              <w:jc w:val="center"/>
            </w:pPr>
            <w:r/>
            <w:r>
              <w:rPr>
                <w:rFonts w:ascii="Times New Roman" w:hAnsi="Times New Roman"/>
                <w:b/>
                <w:sz w:val="16"/>
              </w:rPr>
              <w:t>RECORD / STROBE Item</w:t>
            </w:r>
          </w:p>
        </w:tc>
        <w:tc>
          <w:tcPr>
            <w:tcW w:type="dxa" w:w="3120"/>
          </w:tcPr>
          <w:p>
            <w:pPr>
              <w:jc w:val="center"/>
            </w:pPr>
            <w:r/>
            <w:r>
              <w:rPr>
                <w:rFonts w:ascii="Times New Roman" w:hAnsi="Times New Roman"/>
                <w:b/>
                <w:sz w:val="16"/>
              </w:rPr>
              <w:t>Reported on page / section</w:t>
            </w:r>
          </w:p>
        </w:tc>
      </w:tr>
      <w:tr>
        <w:tc>
          <w:tcPr>
            <w:tcW w:type="dxa" w:w="3120"/>
          </w:tcPr>
          <w:p>
            <w:r/>
            <w:r>
              <w:rPr>
                <w:rFonts w:ascii="Times New Roman" w:hAnsi="Times New Roman"/>
                <w:b/>
                <w:sz w:val="16"/>
              </w:rPr>
              <w:t>Title and abstract</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w:t>
            </w:r>
          </w:p>
        </w:tc>
        <w:tc>
          <w:tcPr>
            <w:tcW w:type="dxa" w:w="3120"/>
          </w:tcPr>
          <w:p>
            <w:r/>
            <w:r>
              <w:rPr>
                <w:rFonts w:ascii="Times New Roman" w:hAnsi="Times New Roman"/>
                <w:sz w:val="16"/>
              </w:rPr>
              <w:t>Indicate the study design with a commonly used term in the title or abstract; provide an informative and balanced summary of what was done and what was found.</w:t>
            </w:r>
          </w:p>
        </w:tc>
        <w:tc>
          <w:tcPr>
            <w:tcW w:type="dxa" w:w="3120"/>
          </w:tcPr>
          <w:p>
            <w:r/>
            <w:r>
              <w:rPr>
                <w:rFonts w:ascii="Times New Roman" w:hAnsi="Times New Roman"/>
                <w:sz w:val="16"/>
              </w:rPr>
              <w:t>Title; Abstract</w:t>
            </w:r>
          </w:p>
        </w:tc>
      </w:tr>
      <w:tr>
        <w:tc>
          <w:tcPr>
            <w:tcW w:type="dxa" w:w="3120"/>
          </w:tcPr>
          <w:p>
            <w:r/>
            <w:r>
              <w:rPr>
                <w:rFonts w:ascii="Times New Roman" w:hAnsi="Times New Roman"/>
                <w:b/>
                <w:sz w:val="16"/>
              </w:rPr>
              <w:t>Introduction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w:t>
            </w:r>
          </w:p>
        </w:tc>
        <w:tc>
          <w:tcPr>
            <w:tcW w:type="dxa" w:w="3120"/>
          </w:tcPr>
          <w:p>
            <w:r/>
            <w:r>
              <w:rPr>
                <w:rFonts w:ascii="Times New Roman" w:hAnsi="Times New Roman"/>
                <w:sz w:val="16"/>
              </w:rPr>
              <w:t>Explain the scientific background and rationale for the investigation being reported.</w:t>
            </w:r>
          </w:p>
        </w:tc>
        <w:tc>
          <w:tcPr>
            <w:tcW w:type="dxa" w:w="3120"/>
          </w:tcPr>
          <w:p>
            <w:r/>
            <w:r>
              <w:rPr>
                <w:rFonts w:ascii="Times New Roman" w:hAnsi="Times New Roman"/>
                <w:sz w:val="16"/>
              </w:rPr>
              <w:t>Introduction ¶1-4</w:t>
            </w:r>
          </w:p>
        </w:tc>
      </w:tr>
      <w:tr>
        <w:tc>
          <w:tcPr>
            <w:tcW w:type="dxa" w:w="3120"/>
          </w:tcPr>
          <w:p>
            <w:r/>
            <w:r>
              <w:rPr>
                <w:rFonts w:ascii="Times New Roman" w:hAnsi="Times New Roman"/>
                <w:sz w:val="16"/>
              </w:rPr>
              <w:t>3</w:t>
            </w:r>
          </w:p>
        </w:tc>
        <w:tc>
          <w:tcPr>
            <w:tcW w:type="dxa" w:w="3120"/>
          </w:tcPr>
          <w:p>
            <w:r/>
            <w:r>
              <w:rPr>
                <w:rFonts w:ascii="Times New Roman" w:hAnsi="Times New Roman"/>
                <w:sz w:val="16"/>
              </w:rPr>
              <w:t>State specific objectives, including any prespecified hypotheses.</w:t>
            </w:r>
          </w:p>
        </w:tc>
        <w:tc>
          <w:tcPr>
            <w:tcW w:type="dxa" w:w="3120"/>
          </w:tcPr>
          <w:p>
            <w:r/>
            <w:r>
              <w:rPr>
                <w:rFonts w:ascii="Times New Roman" w:hAnsi="Times New Roman"/>
                <w:sz w:val="16"/>
              </w:rPr>
              <w:t>Introduction ¶4</w:t>
            </w:r>
          </w:p>
        </w:tc>
      </w:tr>
      <w:tr>
        <w:tc>
          <w:tcPr>
            <w:tcW w:type="dxa" w:w="3120"/>
          </w:tcPr>
          <w:p>
            <w:r/>
            <w:r>
              <w:rPr>
                <w:rFonts w:ascii="Times New Roman" w:hAnsi="Times New Roman"/>
                <w:b/>
                <w:sz w:val="16"/>
              </w:rPr>
              <w:t>Methods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4</w:t>
            </w:r>
          </w:p>
        </w:tc>
        <w:tc>
          <w:tcPr>
            <w:tcW w:type="dxa" w:w="3120"/>
          </w:tcPr>
          <w:p>
            <w:r/>
            <w:r>
              <w:rPr>
                <w:rFonts w:ascii="Times New Roman" w:hAnsi="Times New Roman"/>
                <w:sz w:val="16"/>
              </w:rPr>
              <w:t>Present key elements of study design early in the paper.</w:t>
            </w:r>
          </w:p>
        </w:tc>
        <w:tc>
          <w:tcPr>
            <w:tcW w:type="dxa" w:w="3120"/>
          </w:tcPr>
          <w:p>
            <w:r/>
            <w:r>
              <w:rPr>
                <w:rFonts w:ascii="Times New Roman" w:hAnsi="Times New Roman"/>
                <w:sz w:val="16"/>
              </w:rPr>
              <w:t>Methods: Study design</w:t>
            </w:r>
          </w:p>
        </w:tc>
      </w:tr>
      <w:tr>
        <w:tc>
          <w:tcPr>
            <w:tcW w:type="dxa" w:w="3120"/>
          </w:tcPr>
          <w:p>
            <w:r/>
            <w:r>
              <w:rPr>
                <w:rFonts w:ascii="Times New Roman" w:hAnsi="Times New Roman"/>
                <w:sz w:val="16"/>
              </w:rPr>
              <w:t>5</w:t>
            </w:r>
          </w:p>
        </w:tc>
        <w:tc>
          <w:tcPr>
            <w:tcW w:type="dxa" w:w="3120"/>
          </w:tcPr>
          <w:p>
            <w:r/>
            <w:r>
              <w:rPr>
                <w:rFonts w:ascii="Times New Roman" w:hAnsi="Times New Roman"/>
                <w:sz w:val="16"/>
              </w:rPr>
              <w:t>Describe the setting, locations, and relevant dates, including periods of recruitment, exposure, follow-up, and data collection.</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6a</w:t>
            </w:r>
          </w:p>
        </w:tc>
        <w:tc>
          <w:tcPr>
            <w:tcW w:type="dxa" w:w="3120"/>
          </w:tcPr>
          <w:p>
            <w:r/>
            <w:r>
              <w:rPr>
                <w:rFonts w:ascii="Times New Roman" w:hAnsi="Times New Roman"/>
                <w:sz w:val="16"/>
              </w:rPr>
              <w:t>Give the eligibility criteria, and the sources and methods of selection of participants. Describe methods of follow-up.</w:t>
            </w:r>
          </w:p>
        </w:tc>
        <w:tc>
          <w:tcPr>
            <w:tcW w:type="dxa" w:w="3120"/>
          </w:tcPr>
          <w:p>
            <w:r/>
            <w:r>
              <w:rPr>
                <w:rFonts w:ascii="Times New Roman" w:hAnsi="Times New Roman"/>
                <w:sz w:val="16"/>
              </w:rPr>
              <w:t>Methods: Specialties analysed</w:t>
            </w:r>
          </w:p>
        </w:tc>
      </w:tr>
      <w:tr>
        <w:tc>
          <w:tcPr>
            <w:tcW w:type="dxa" w:w="3120"/>
          </w:tcPr>
          <w:p>
            <w:r/>
            <w:r>
              <w:rPr>
                <w:rFonts w:ascii="Times New Roman" w:hAnsi="Times New Roman"/>
                <w:sz w:val="16"/>
              </w:rPr>
              <w:t>6b</w:t>
            </w:r>
          </w:p>
        </w:tc>
        <w:tc>
          <w:tcPr>
            <w:tcW w:type="dxa" w:w="3120"/>
          </w:tcPr>
          <w:p>
            <w:r/>
            <w:r>
              <w:rPr>
                <w:rFonts w:ascii="Times New Roman" w:hAnsi="Times New Roman"/>
                <w:sz w:val="16"/>
              </w:rPr>
              <w:t>For matched studies, give matching criteria and number of exposed and unexposed.</w:t>
            </w:r>
          </w:p>
        </w:tc>
        <w:tc>
          <w:tcPr>
            <w:tcW w:type="dxa" w:w="3120"/>
          </w:tcPr>
          <w:p>
            <w:r/>
            <w:r>
              <w:rPr>
                <w:rFonts w:ascii="Times New Roman" w:hAnsi="Times New Roman"/>
                <w:sz w:val="16"/>
              </w:rPr>
              <w:t>N/A</w:t>
            </w:r>
          </w:p>
        </w:tc>
      </w:tr>
      <w:tr>
        <w:tc>
          <w:tcPr>
            <w:tcW w:type="dxa" w:w="3120"/>
          </w:tcPr>
          <w:p>
            <w:r/>
            <w:r>
              <w:rPr>
                <w:rFonts w:ascii="Times New Roman" w:hAnsi="Times New Roman"/>
                <w:sz w:val="16"/>
              </w:rPr>
              <w:t>7</w:t>
            </w:r>
          </w:p>
        </w:tc>
        <w:tc>
          <w:tcPr>
            <w:tcW w:type="dxa" w:w="3120"/>
          </w:tcPr>
          <w:p>
            <w:r/>
            <w:r>
              <w:rPr>
                <w:rFonts w:ascii="Times New Roman" w:hAnsi="Times New Roman"/>
                <w:sz w:val="16"/>
              </w:rPr>
              <w:t>Clearly define all outcomes, exposures, predictors, potential confounders, and effect modifiers. Give diagnostic criteria, if applicable.</w:t>
            </w:r>
          </w:p>
        </w:tc>
        <w:tc>
          <w:tcPr>
            <w:tcW w:type="dxa" w:w="3120"/>
          </w:tcPr>
          <w:p>
            <w:r/>
            <w:r>
              <w:rPr>
                <w:rFonts w:ascii="Times New Roman" w:hAnsi="Times New Roman"/>
                <w:sz w:val="16"/>
              </w:rPr>
              <w:t>Methods: Data sources (Definitions 1-3); Statistical analysis</w:t>
            </w:r>
          </w:p>
        </w:tc>
      </w:tr>
      <w:tr>
        <w:tc>
          <w:tcPr>
            <w:tcW w:type="dxa" w:w="3120"/>
          </w:tcPr>
          <w:p>
            <w:r/>
            <w:r>
              <w:rPr>
                <w:rFonts w:ascii="Times New Roman" w:hAnsi="Times New Roman"/>
                <w:sz w:val="16"/>
              </w:rPr>
              <w:t>8</w:t>
            </w:r>
          </w:p>
        </w:tc>
        <w:tc>
          <w:tcPr>
            <w:tcW w:type="dxa" w:w="3120"/>
          </w:tcPr>
          <w:p>
            <w:r/>
            <w:r>
              <w:rPr>
                <w:rFonts w:ascii="Times New Roman" w:hAnsi="Times New Roman"/>
                <w:sz w:val="16"/>
              </w:rPr>
              <w:t>For each variable of interest, give sources of data and details of methods of assessment (measurement). Describe comparability of assessment methods if there is more than one group.</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9</w:t>
            </w:r>
          </w:p>
        </w:tc>
        <w:tc>
          <w:tcPr>
            <w:tcW w:type="dxa" w:w="3120"/>
          </w:tcPr>
          <w:p>
            <w:r/>
            <w:r>
              <w:rPr>
                <w:rFonts w:ascii="Times New Roman" w:hAnsi="Times New Roman"/>
                <w:sz w:val="16"/>
              </w:rPr>
              <w:t>Describe any efforts to address potential sources of bias.</w:t>
            </w:r>
          </w:p>
        </w:tc>
        <w:tc>
          <w:tcPr>
            <w:tcW w:type="dxa" w:w="3120"/>
          </w:tcPr>
          <w:p>
            <w:r/>
            <w:r>
              <w:rPr>
                <w:rFonts w:ascii="Times New Roman" w:hAnsi="Times New Roman"/>
                <w:sz w:val="16"/>
              </w:rPr>
              <w:t>Methods: Lead time estimation (detrending); Discussion: Limitations</w:t>
            </w:r>
          </w:p>
        </w:tc>
      </w:tr>
      <w:tr>
        <w:tc>
          <w:tcPr>
            <w:tcW w:type="dxa" w:w="3120"/>
          </w:tcPr>
          <w:p>
            <w:r/>
            <w:r>
              <w:rPr>
                <w:rFonts w:ascii="Times New Roman" w:hAnsi="Times New Roman"/>
                <w:sz w:val="16"/>
              </w:rPr>
              <w:t>10</w:t>
            </w:r>
          </w:p>
        </w:tc>
        <w:tc>
          <w:tcPr>
            <w:tcW w:type="dxa" w:w="3120"/>
          </w:tcPr>
          <w:p>
            <w:r/>
            <w:r>
              <w:rPr>
                <w:rFonts w:ascii="Times New Roman" w:hAnsi="Times New Roman"/>
                <w:sz w:val="16"/>
              </w:rPr>
              <w:t>Explain how the study size was arrived at.</w:t>
            </w:r>
          </w:p>
        </w:tc>
        <w:tc>
          <w:tcPr>
            <w:tcW w:type="dxa" w:w="3120"/>
          </w:tcPr>
          <w:p>
            <w:r/>
            <w:r>
              <w:rPr>
                <w:rFonts w:ascii="Times New Roman" w:hAnsi="Times New Roman"/>
                <w:sz w:val="16"/>
              </w:rPr>
              <w:t>Methods: Data sources (national population-level registries; all available years used)</w:t>
            </w:r>
          </w:p>
        </w:tc>
      </w:tr>
      <w:tr>
        <w:tc>
          <w:tcPr>
            <w:tcW w:type="dxa" w:w="3120"/>
          </w:tcPr>
          <w:p>
            <w:r/>
            <w:r>
              <w:rPr>
                <w:rFonts w:ascii="Times New Roman" w:hAnsi="Times New Roman"/>
                <w:sz w:val="16"/>
              </w:rPr>
              <w:t>11</w:t>
            </w:r>
          </w:p>
        </w:tc>
        <w:tc>
          <w:tcPr>
            <w:tcW w:type="dxa" w:w="3120"/>
          </w:tcPr>
          <w:p>
            <w:r/>
            <w:r>
              <w:rPr>
                <w:rFonts w:ascii="Times New Roman" w:hAnsi="Times New Roman"/>
                <w:sz w:val="16"/>
              </w:rPr>
              <w:t>Explain how quantitative variables were handled in the analyses.</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12</w:t>
            </w:r>
          </w:p>
        </w:tc>
        <w:tc>
          <w:tcPr>
            <w:tcW w:type="dxa" w:w="3120"/>
          </w:tcPr>
          <w:p>
            <w:r/>
            <w:r>
              <w:rPr>
                <w:rFonts w:ascii="Times New Roman" w:hAnsi="Times New Roman"/>
                <w:sz w:val="16"/>
              </w:rPr>
              <w:t>Describe all statistical methods, including those used to control for confounding.</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13</w:t>
            </w:r>
          </w:p>
        </w:tc>
        <w:tc>
          <w:tcPr>
            <w:tcW w:type="dxa" w:w="3120"/>
          </w:tcPr>
          <w:p>
            <w:r/>
            <w:r>
              <w:rPr>
                <w:rFonts w:ascii="Times New Roman" w:hAnsi="Times New Roman"/>
                <w:sz w:val="16"/>
              </w:rPr>
              <w:t>Report numbers of individuals at each stage of study.</w:t>
            </w:r>
          </w:p>
        </w:tc>
        <w:tc>
          <w:tcPr>
            <w:tcW w:type="dxa" w:w="3120"/>
          </w:tcPr>
          <w:p>
            <w:r/>
            <w:r>
              <w:rPr>
                <w:rFonts w:ascii="Times New Roman" w:hAnsi="Times New Roman"/>
                <w:sz w:val="16"/>
              </w:rPr>
              <w:t>Results: Descriptive overview</w:t>
            </w:r>
          </w:p>
        </w:tc>
      </w:tr>
      <w:tr>
        <w:tc>
          <w:tcPr>
            <w:tcW w:type="dxa" w:w="3120"/>
          </w:tcPr>
          <w:p>
            <w:r/>
            <w:r>
              <w:rPr>
                <w:rFonts w:ascii="Times New Roman" w:hAnsi="Times New Roman"/>
                <w:sz w:val="16"/>
              </w:rPr>
              <w:t>14</w:t>
            </w:r>
          </w:p>
        </w:tc>
        <w:tc>
          <w:tcPr>
            <w:tcW w:type="dxa" w:w="3120"/>
          </w:tcPr>
          <w:p>
            <w:r/>
            <w:r>
              <w:rPr>
                <w:rFonts w:ascii="Times New Roman" w:hAnsi="Times New Roman"/>
                <w:sz w:val="16"/>
              </w:rPr>
              <w:t>Give characteristics of study participants and information on exposures and potential confounders.</w:t>
            </w:r>
          </w:p>
        </w:tc>
        <w:tc>
          <w:tcPr>
            <w:tcW w:type="dxa" w:w="3120"/>
          </w:tcPr>
          <w:p>
            <w:r/>
            <w:r>
              <w:rPr>
                <w:rFonts w:ascii="Times New Roman" w:hAnsi="Times New Roman"/>
                <w:sz w:val="16"/>
              </w:rPr>
              <w:t>Results: Descriptive overview; Table 1</w:t>
            </w:r>
          </w:p>
        </w:tc>
      </w:tr>
      <w:tr>
        <w:tc>
          <w:tcPr>
            <w:tcW w:type="dxa" w:w="3120"/>
          </w:tcPr>
          <w:p>
            <w:r/>
            <w:r>
              <w:rPr>
                <w:rFonts w:ascii="Times New Roman" w:hAnsi="Times New Roman"/>
                <w:sz w:val="16"/>
              </w:rPr>
              <w:t>15</w:t>
            </w:r>
          </w:p>
        </w:tc>
        <w:tc>
          <w:tcPr>
            <w:tcW w:type="dxa" w:w="3120"/>
          </w:tcPr>
          <w:p>
            <w:r/>
            <w:r>
              <w:rPr>
                <w:rFonts w:ascii="Times New Roman" w:hAnsi="Times New Roman"/>
                <w:sz w:val="16"/>
              </w:rPr>
              <w:t>Report numbers of outcome events or summary measures.</w:t>
            </w:r>
          </w:p>
        </w:tc>
        <w:tc>
          <w:tcPr>
            <w:tcW w:type="dxa" w:w="3120"/>
          </w:tcPr>
          <w:p>
            <w:r/>
            <w:r>
              <w:rPr>
                <w:rFonts w:ascii="Times New Roman" w:hAnsi="Times New Roman"/>
                <w:sz w:val="16"/>
              </w:rPr>
              <w:t>Results; Tables 1-4</w:t>
            </w:r>
          </w:p>
        </w:tc>
      </w:tr>
      <w:tr>
        <w:tc>
          <w:tcPr>
            <w:tcW w:type="dxa" w:w="3120"/>
          </w:tcPr>
          <w:p>
            <w:r/>
            <w:r>
              <w:rPr>
                <w:rFonts w:ascii="Times New Roman" w:hAnsi="Times New Roman"/>
                <w:sz w:val="16"/>
              </w:rPr>
              <w:t>16</w:t>
            </w:r>
          </w:p>
        </w:tc>
        <w:tc>
          <w:tcPr>
            <w:tcW w:type="dxa" w:w="3120"/>
          </w:tcPr>
          <w:p>
            <w:r/>
            <w:r>
              <w:rPr>
                <w:rFonts w:ascii="Times New Roman" w:hAnsi="Times New Roman"/>
                <w:sz w:val="16"/>
              </w:rPr>
              <w:t>Give unadjusted estimates and, if applicable, confounder-adjusted estimates.</w:t>
            </w:r>
          </w:p>
        </w:tc>
        <w:tc>
          <w:tcPr>
            <w:tcW w:type="dxa" w:w="3120"/>
          </w:tcPr>
          <w:p>
            <w:r/>
            <w:r>
              <w:rPr>
                <w:rFonts w:ascii="Times New Roman" w:hAnsi="Times New Roman"/>
                <w:sz w:val="16"/>
              </w:rPr>
              <w:t>Results: Tables 1-4; Figures 2-9</w:t>
            </w:r>
          </w:p>
        </w:tc>
      </w:tr>
      <w:tr>
        <w:tc>
          <w:tcPr>
            <w:tcW w:type="dxa" w:w="3120"/>
          </w:tcPr>
          <w:p>
            <w:r/>
            <w:r>
              <w:rPr>
                <w:rFonts w:ascii="Times New Roman" w:hAnsi="Times New Roman"/>
                <w:sz w:val="16"/>
              </w:rPr>
              <w:t>17</w:t>
            </w:r>
          </w:p>
        </w:tc>
        <w:tc>
          <w:tcPr>
            <w:tcW w:type="dxa" w:w="3120"/>
          </w:tcPr>
          <w:p>
            <w:r/>
            <w:r>
              <w:rPr>
                <w:rFonts w:ascii="Times New Roman" w:hAnsi="Times New Roman"/>
                <w:sz w:val="16"/>
              </w:rPr>
              <w:t>Report other analyses done—e.g. analyses of subgroups and interactions.</w:t>
            </w:r>
          </w:p>
        </w:tc>
        <w:tc>
          <w:tcPr>
            <w:tcW w:type="dxa" w:w="3120"/>
          </w:tcPr>
          <w:p>
            <w:r/>
            <w:r>
              <w:rPr>
                <w:rFonts w:ascii="Times New Roman" w:hAnsi="Times New Roman"/>
                <w:sz w:val="16"/>
              </w:rPr>
              <w:t>Results: Trainee analysis; Window period estimates</w:t>
            </w:r>
          </w:p>
        </w:tc>
      </w:tr>
      <w:tr>
        <w:tc>
          <w:tcPr>
            <w:tcW w:type="dxa" w:w="3120"/>
          </w:tcPr>
          <w:p>
            <w:r/>
            <w:r>
              <w:rPr>
                <w:rFonts w:ascii="Times New Roman" w:hAnsi="Times New Roman"/>
                <w:b/>
                <w:sz w:val="16"/>
              </w:rPr>
              <w:t>Discussion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18</w:t>
            </w:r>
          </w:p>
        </w:tc>
        <w:tc>
          <w:tcPr>
            <w:tcW w:type="dxa" w:w="3120"/>
          </w:tcPr>
          <w:p>
            <w:r/>
            <w:r>
              <w:rPr>
                <w:rFonts w:ascii="Times New Roman" w:hAnsi="Times New Roman"/>
                <w:sz w:val="16"/>
              </w:rPr>
              <w:t>Summarise key results with reference to study objectives.</w:t>
            </w:r>
          </w:p>
        </w:tc>
        <w:tc>
          <w:tcPr>
            <w:tcW w:type="dxa" w:w="3120"/>
          </w:tcPr>
          <w:p>
            <w:r/>
            <w:r>
              <w:rPr>
                <w:rFonts w:ascii="Times New Roman" w:hAnsi="Times New Roman"/>
                <w:sz w:val="16"/>
              </w:rPr>
              <w:t>Discussion: Principal findings</w:t>
            </w:r>
          </w:p>
        </w:tc>
      </w:tr>
      <w:tr>
        <w:tc>
          <w:tcPr>
            <w:tcW w:type="dxa" w:w="3120"/>
          </w:tcPr>
          <w:p>
            <w:r/>
            <w:r>
              <w:rPr>
                <w:rFonts w:ascii="Times New Roman" w:hAnsi="Times New Roman"/>
                <w:sz w:val="16"/>
              </w:rPr>
              <w:t>19</w:t>
            </w:r>
          </w:p>
        </w:tc>
        <w:tc>
          <w:tcPr>
            <w:tcW w:type="dxa" w:w="3120"/>
          </w:tcPr>
          <w:p>
            <w:r/>
            <w:r>
              <w:rPr>
                <w:rFonts w:ascii="Times New Roman" w:hAnsi="Times New Roman"/>
                <w:sz w:val="16"/>
              </w:rPr>
              <w:t>Discuss limitations of the study, taking into account sources of potential bias or imprecision.</w:t>
            </w:r>
          </w:p>
        </w:tc>
        <w:tc>
          <w:tcPr>
            <w:tcW w:type="dxa" w:w="3120"/>
          </w:tcPr>
          <w:p>
            <w:r/>
            <w:r>
              <w:rPr>
                <w:rFonts w:ascii="Times New Roman" w:hAnsi="Times New Roman"/>
                <w:sz w:val="16"/>
              </w:rPr>
              <w:t>Discussion: Strengths and limitations</w:t>
            </w:r>
          </w:p>
        </w:tc>
      </w:tr>
      <w:tr>
        <w:tc>
          <w:tcPr>
            <w:tcW w:type="dxa" w:w="3120"/>
          </w:tcPr>
          <w:p>
            <w:r/>
            <w:r>
              <w:rPr>
                <w:rFonts w:ascii="Times New Roman" w:hAnsi="Times New Roman"/>
                <w:sz w:val="16"/>
              </w:rPr>
              <w:t>20</w:t>
            </w:r>
          </w:p>
        </w:tc>
        <w:tc>
          <w:tcPr>
            <w:tcW w:type="dxa" w:w="3120"/>
          </w:tcPr>
          <w:p>
            <w:r/>
            <w:r>
              <w:rPr>
                <w:rFonts w:ascii="Times New Roman" w:hAnsi="Times New Roman"/>
                <w:sz w:val="16"/>
              </w:rPr>
              <w:t>Give a cautious overall interpretation of results considering objectives, limitations, multiplicity of analyses, results from similar studies, and other relevant evidence.</w:t>
            </w:r>
          </w:p>
        </w:tc>
        <w:tc>
          <w:tcPr>
            <w:tcW w:type="dxa" w:w="3120"/>
          </w:tcPr>
          <w:p>
            <w:r/>
            <w:r>
              <w:rPr>
                <w:rFonts w:ascii="Times New Roman" w:hAnsi="Times New Roman"/>
                <w:sz w:val="16"/>
              </w:rPr>
              <w:t>Discussion: Comparison with existing literature; Policy implications</w:t>
            </w:r>
          </w:p>
        </w:tc>
      </w:tr>
      <w:tr>
        <w:tc>
          <w:tcPr>
            <w:tcW w:type="dxa" w:w="3120"/>
          </w:tcPr>
          <w:p>
            <w:r/>
            <w:r>
              <w:rPr>
                <w:rFonts w:ascii="Times New Roman" w:hAnsi="Times New Roman"/>
                <w:sz w:val="16"/>
              </w:rPr>
              <w:t>21</w:t>
            </w:r>
          </w:p>
        </w:tc>
        <w:tc>
          <w:tcPr>
            <w:tcW w:type="dxa" w:w="3120"/>
          </w:tcPr>
          <w:p>
            <w:r/>
            <w:r>
              <w:rPr>
                <w:rFonts w:ascii="Times New Roman" w:hAnsi="Times New Roman"/>
                <w:sz w:val="16"/>
              </w:rPr>
              <w:t>Discuss the generalisability (external validity) of the study results.</w:t>
            </w:r>
          </w:p>
        </w:tc>
        <w:tc>
          <w:tcPr>
            <w:tcW w:type="dxa" w:w="3120"/>
          </w:tcPr>
          <w:p>
            <w:r/>
            <w:r>
              <w:rPr>
                <w:rFonts w:ascii="Times New Roman" w:hAnsi="Times New Roman"/>
                <w:sz w:val="16"/>
              </w:rPr>
              <w:t>Discussion: Policy implications</w:t>
            </w:r>
          </w:p>
        </w:tc>
      </w:tr>
      <w:tr>
        <w:tc>
          <w:tcPr>
            <w:tcW w:type="dxa" w:w="3120"/>
          </w:tcPr>
          <w:p>
            <w:r/>
            <w:r>
              <w:rPr>
                <w:rFonts w:ascii="Times New Roman" w:hAnsi="Times New Roman"/>
                <w:b/>
                <w:sz w:val="16"/>
              </w:rPr>
              <w:t>Other information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22</w:t>
            </w:r>
          </w:p>
        </w:tc>
        <w:tc>
          <w:tcPr>
            <w:tcW w:type="dxa" w:w="3120"/>
          </w:tcPr>
          <w:p>
            <w:r/>
            <w:r>
              <w:rPr>
                <w:rFonts w:ascii="Times New Roman" w:hAnsi="Times New Roman"/>
                <w:sz w:val="16"/>
              </w:rPr>
              <w:t>Give the source of funding and the role of the funders.</w:t>
            </w:r>
          </w:p>
        </w:tc>
        <w:tc>
          <w:tcPr>
            <w:tcW w:type="dxa" w:w="3120"/>
          </w:tcPr>
          <w:p>
            <w:r/>
            <w:r>
              <w:rPr>
                <w:rFonts w:ascii="Times New Roman" w:hAnsi="Times New Roman"/>
                <w:sz w:val="16"/>
              </w:rPr>
              <w:t>Declarations: Funding</w:t>
            </w:r>
          </w:p>
        </w:tc>
      </w:tr>
      <w:tr>
        <w:tc>
          <w:tcPr>
            <w:tcW w:type="dxa" w:w="3120"/>
          </w:tcPr>
          <w:p>
            <w:r/>
            <w:r>
              <w:rPr>
                <w:rFonts w:ascii="Times New Roman" w:hAnsi="Times New Roman"/>
                <w:b/>
                <w:sz w:val="16"/>
              </w:rPr>
              <w:t>RECORD items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b/>
                <w:sz w:val="16"/>
              </w:rPr>
              <w:t>RECORD 1.1</w:t>
            </w:r>
          </w:p>
        </w:tc>
        <w:tc>
          <w:tcPr>
            <w:tcW w:type="dxa" w:w="3120"/>
          </w:tcPr>
          <w:p>
            <w:r/>
            <w:r>
              <w:rPr>
                <w:rFonts w:ascii="Times New Roman" w:hAnsi="Times New Roman"/>
                <w:sz w:val="16"/>
              </w:rPr>
              <w:t>The type of data used should be specified in the title or abstract. When possible, the name of the databases used should be included.</w:t>
            </w:r>
          </w:p>
        </w:tc>
        <w:tc>
          <w:tcPr>
            <w:tcW w:type="dxa" w:w="3120"/>
          </w:tcPr>
          <w:p>
            <w:r/>
            <w:r>
              <w:rPr>
                <w:rFonts w:ascii="Times New Roman" w:hAnsi="Times New Roman"/>
                <w:sz w:val="16"/>
              </w:rPr>
              <w:t>Title (interrupted time series); Abstract (JMSR, Supreme Court, MHLW surveys)</w:t>
            </w:r>
          </w:p>
        </w:tc>
      </w:tr>
      <w:tr>
        <w:tc>
          <w:tcPr>
            <w:tcW w:type="dxa" w:w="3120"/>
          </w:tcPr>
          <w:p>
            <w:r/>
            <w:r>
              <w:rPr>
                <w:rFonts w:ascii="Times New Roman" w:hAnsi="Times New Roman"/>
                <w:b/>
                <w:sz w:val="16"/>
              </w:rPr>
              <w:t>RECORD 1.2</w:t>
            </w:r>
          </w:p>
        </w:tc>
        <w:tc>
          <w:tcPr>
            <w:tcW w:type="dxa" w:w="3120"/>
          </w:tcPr>
          <w:p>
            <w:r/>
            <w:r>
              <w:rPr>
                <w:rFonts w:ascii="Times New Roman" w:hAnsi="Times New Roman"/>
                <w:sz w:val="16"/>
              </w:rPr>
              <w:t>If applicable, the geographic region and time frame within which the study took place should be reported in the title or abstract.</w:t>
            </w:r>
          </w:p>
        </w:tc>
        <w:tc>
          <w:tcPr>
            <w:tcW w:type="dxa" w:w="3120"/>
          </w:tcPr>
          <w:p>
            <w:r/>
            <w:r>
              <w:rPr>
                <w:rFonts w:ascii="Times New Roman" w:hAnsi="Times New Roman"/>
                <w:sz w:val="16"/>
              </w:rPr>
              <w:t>Title (Japan); Abstract (1994-2025)</w:t>
            </w:r>
          </w:p>
        </w:tc>
      </w:tr>
      <w:tr>
        <w:tc>
          <w:tcPr>
            <w:tcW w:type="dxa" w:w="3120"/>
          </w:tcPr>
          <w:p>
            <w:r/>
            <w:r>
              <w:rPr>
                <w:rFonts w:ascii="Times New Roman" w:hAnsi="Times New Roman"/>
                <w:b/>
                <w:sz w:val="16"/>
              </w:rPr>
              <w:t>RECORD 1.3</w:t>
            </w:r>
          </w:p>
        </w:tc>
        <w:tc>
          <w:tcPr>
            <w:tcW w:type="dxa" w:w="3120"/>
          </w:tcPr>
          <w:p>
            <w:r/>
            <w:r>
              <w:rPr>
                <w:rFonts w:ascii="Times New Roman" w:hAnsi="Times New Roman"/>
                <w:sz w:val="16"/>
              </w:rPr>
              <w:t>If linkage between databases was conducted for the study, this should be clearly stated in the title or abstract.</w:t>
            </w:r>
          </w:p>
        </w:tc>
        <w:tc>
          <w:tcPr>
            <w:tcW w:type="dxa" w:w="3120"/>
          </w:tcPr>
          <w:p>
            <w:r/>
            <w:r>
              <w:rPr>
                <w:rFonts w:ascii="Times New Roman" w:hAnsi="Times New Roman"/>
                <w:sz w:val="16"/>
              </w:rPr>
              <w:t>N/A (no record linkage)</w:t>
            </w:r>
          </w:p>
        </w:tc>
      </w:tr>
      <w:tr>
        <w:tc>
          <w:tcPr>
            <w:tcW w:type="dxa" w:w="3120"/>
          </w:tcPr>
          <w:p>
            <w:r/>
            <w:r>
              <w:rPr>
                <w:rFonts w:ascii="Times New Roman" w:hAnsi="Times New Roman"/>
                <w:b/>
                <w:sz w:val="16"/>
              </w:rPr>
              <w:t>RECORD 6.1</w:t>
            </w:r>
          </w:p>
        </w:tc>
        <w:tc>
          <w:tcPr>
            <w:tcW w:type="dxa" w:w="3120"/>
          </w:tcPr>
          <w:p>
            <w:r/>
            <w:r>
              <w:rPr>
                <w:rFonts w:ascii="Times New Roman" w:hAnsi="Times New Roman"/>
                <w:sz w:val="16"/>
              </w:rPr>
              <w:t>The methods of study population selection (e.g. codes or algorithms used to identify subjects) should be listed in detail.</w:t>
            </w:r>
          </w:p>
        </w:tc>
        <w:tc>
          <w:tcPr>
            <w:tcW w:type="dxa" w:w="3120"/>
          </w:tcPr>
          <w:p>
            <w:r/>
            <w:r>
              <w:rPr>
                <w:rFonts w:ascii="Times New Roman" w:hAnsi="Times New Roman"/>
                <w:sz w:val="16"/>
              </w:rPr>
              <w:t>Methods: Data sources; Specialties analysed</w:t>
            </w:r>
          </w:p>
        </w:tc>
      </w:tr>
      <w:tr>
        <w:tc>
          <w:tcPr>
            <w:tcW w:type="dxa" w:w="3120"/>
          </w:tcPr>
          <w:p>
            <w:r/>
            <w:r>
              <w:rPr>
                <w:rFonts w:ascii="Times New Roman" w:hAnsi="Times New Roman"/>
                <w:b/>
                <w:sz w:val="16"/>
              </w:rPr>
              <w:t>RECORD 6.2</w:t>
            </w:r>
          </w:p>
        </w:tc>
        <w:tc>
          <w:tcPr>
            <w:tcW w:type="dxa" w:w="3120"/>
          </w:tcPr>
          <w:p>
            <w:r/>
            <w:r>
              <w:rPr>
                <w:rFonts w:ascii="Times New Roman" w:hAnsi="Times New Roman"/>
                <w:sz w:val="16"/>
              </w:rPr>
              <w:t>Any validation studies of the codes or algorithms used to select the population should be referenced.</w:t>
            </w:r>
          </w:p>
        </w:tc>
        <w:tc>
          <w:tcPr>
            <w:tcW w:type="dxa" w:w="3120"/>
          </w:tcPr>
          <w:p>
            <w:r/>
            <w:r>
              <w:rPr>
                <w:rFonts w:ascii="Times New Roman" w:hAnsi="Times New Roman"/>
                <w:sz w:val="16"/>
              </w:rPr>
              <w:t>N/A (complete national registries used)</w:t>
            </w:r>
          </w:p>
        </w:tc>
      </w:tr>
      <w:tr>
        <w:tc>
          <w:tcPr>
            <w:tcW w:type="dxa" w:w="3120"/>
          </w:tcPr>
          <w:p>
            <w:r/>
            <w:r>
              <w:rPr>
                <w:rFonts w:ascii="Times New Roman" w:hAnsi="Times New Roman"/>
                <w:b/>
                <w:sz w:val="16"/>
              </w:rPr>
              <w:t>RECORD 6.3</w:t>
            </w:r>
          </w:p>
        </w:tc>
        <w:tc>
          <w:tcPr>
            <w:tcW w:type="dxa" w:w="3120"/>
          </w:tcPr>
          <w:p>
            <w:r/>
            <w:r>
              <w:rPr>
                <w:rFonts w:ascii="Times New Roman" w:hAnsi="Times New Roman"/>
                <w:sz w:val="16"/>
              </w:rPr>
              <w:t>If the study involved linkage of databases, consider use of a flow diagram or other graphical display to demonstrate the data linkage process.</w:t>
            </w:r>
          </w:p>
        </w:tc>
        <w:tc>
          <w:tcPr>
            <w:tcW w:type="dxa" w:w="3120"/>
          </w:tcPr>
          <w:p>
            <w:r/>
            <w:r>
              <w:rPr>
                <w:rFonts w:ascii="Times New Roman" w:hAnsi="Times New Roman"/>
                <w:sz w:val="16"/>
              </w:rPr>
              <w:t>N/A</w:t>
            </w:r>
          </w:p>
        </w:tc>
      </w:tr>
      <w:tr>
        <w:tc>
          <w:tcPr>
            <w:tcW w:type="dxa" w:w="3120"/>
          </w:tcPr>
          <w:p>
            <w:r/>
            <w:r>
              <w:rPr>
                <w:rFonts w:ascii="Times New Roman" w:hAnsi="Times New Roman"/>
                <w:b/>
                <w:sz w:val="16"/>
              </w:rPr>
              <w:t>RECORD 7.1</w:t>
            </w:r>
          </w:p>
        </w:tc>
        <w:tc>
          <w:tcPr>
            <w:tcW w:type="dxa" w:w="3120"/>
          </w:tcPr>
          <w:p>
            <w:r/>
            <w:r>
              <w:rPr>
                <w:rFonts w:ascii="Times New Roman" w:hAnsi="Times New Roman"/>
                <w:sz w:val="16"/>
              </w:rPr>
              <w:t>A complete list of codes and algorithms used to classify exposures, outcomes, confounders, and effect modifiers should be provided.</w:t>
            </w:r>
          </w:p>
        </w:tc>
        <w:tc>
          <w:tcPr>
            <w:tcW w:type="dxa" w:w="3120"/>
          </w:tcPr>
          <w:p>
            <w:r/>
            <w:r>
              <w:rPr>
                <w:rFonts w:ascii="Times New Roman" w:hAnsi="Times New Roman"/>
                <w:sz w:val="16"/>
              </w:rPr>
              <w:t>Methods: Data sources (Definitions 1-3)</w:t>
            </w:r>
          </w:p>
        </w:tc>
      </w:tr>
      <w:tr>
        <w:tc>
          <w:tcPr>
            <w:tcW w:type="dxa" w:w="3120"/>
          </w:tcPr>
          <w:p>
            <w:r/>
            <w:r>
              <w:rPr>
                <w:rFonts w:ascii="Times New Roman" w:hAnsi="Times New Roman"/>
                <w:b/>
                <w:sz w:val="16"/>
              </w:rPr>
              <w:t>RECORD 12.1</w:t>
            </w:r>
          </w:p>
        </w:tc>
        <w:tc>
          <w:tcPr>
            <w:tcW w:type="dxa" w:w="3120"/>
          </w:tcPr>
          <w:p>
            <w:r/>
            <w:r>
              <w:rPr>
                <w:rFonts w:ascii="Times New Roman" w:hAnsi="Times New Roman"/>
                <w:sz w:val="16"/>
              </w:rPr>
              <w:t>Authors should describe the extent to which the investigators had access to the database population used to create the study population.</w:t>
            </w:r>
          </w:p>
        </w:tc>
        <w:tc>
          <w:tcPr>
            <w:tcW w:type="dxa" w:w="3120"/>
          </w:tcPr>
          <w:p>
            <w:r/>
            <w:r>
              <w:rPr>
                <w:rFonts w:ascii="Times New Roman" w:hAnsi="Times New Roman"/>
                <w:sz w:val="16"/>
              </w:rPr>
              <w:t>All data sources are publicly available national aggregate statistics</w:t>
            </w:r>
          </w:p>
        </w:tc>
      </w:tr>
      <w:tr>
        <w:tc>
          <w:tcPr>
            <w:tcW w:type="dxa" w:w="3120"/>
          </w:tcPr>
          <w:p>
            <w:r/>
            <w:r>
              <w:rPr>
                <w:rFonts w:ascii="Times New Roman" w:hAnsi="Times New Roman"/>
                <w:b/>
                <w:sz w:val="16"/>
              </w:rPr>
              <w:t>RECORD 12.2</w:t>
            </w:r>
          </w:p>
        </w:tc>
        <w:tc>
          <w:tcPr>
            <w:tcW w:type="dxa" w:w="3120"/>
          </w:tcPr>
          <w:p>
            <w:r/>
            <w:r>
              <w:rPr>
                <w:rFonts w:ascii="Times New Roman" w:hAnsi="Times New Roman"/>
                <w:sz w:val="16"/>
              </w:rPr>
              <w:t>Authors should provide information on the data cleaning methods used.</w:t>
            </w:r>
          </w:p>
        </w:tc>
        <w:tc>
          <w:tcPr>
            <w:tcW w:type="dxa" w:w="3120"/>
          </w:tcPr>
          <w:p>
            <w:r/>
            <w:r>
              <w:rPr>
                <w:rFonts w:ascii="Times New Roman" w:hAnsi="Times New Roman"/>
                <w:sz w:val="16"/>
              </w:rPr>
              <w:t>Methods: Biennial data interpolated; min-max normalisation for composite</w:t>
            </w:r>
          </w:p>
        </w:tc>
      </w:tr>
      <w:tr>
        <w:tc>
          <w:tcPr>
            <w:tcW w:type="dxa" w:w="3120"/>
          </w:tcPr>
          <w:p>
            <w:r/>
            <w:r>
              <w:rPr>
                <w:rFonts w:ascii="Times New Roman" w:hAnsi="Times New Roman"/>
                <w:b/>
                <w:sz w:val="16"/>
              </w:rPr>
              <w:t>RECORD 13.1</w:t>
            </w:r>
          </w:p>
        </w:tc>
        <w:tc>
          <w:tcPr>
            <w:tcW w:type="dxa" w:w="3120"/>
          </w:tcPr>
          <w:p>
            <w:r/>
            <w:r>
              <w:rPr>
                <w:rFonts w:ascii="Times New Roman" w:hAnsi="Times New Roman"/>
                <w:sz w:val="16"/>
              </w:rPr>
              <w:t>Describe in detail the selection of the persons included in the study.</w:t>
            </w:r>
          </w:p>
        </w:tc>
        <w:tc>
          <w:tcPr>
            <w:tcW w:type="dxa" w:w="3120"/>
          </w:tcPr>
          <w:p>
            <w:r/>
            <w:r>
              <w:rPr>
                <w:rFonts w:ascii="Times New Roman" w:hAnsi="Times New Roman"/>
                <w:sz w:val="16"/>
              </w:rPr>
              <w:t>Methods: Specialties analysed (12 core specialties)</w:t>
            </w:r>
          </w:p>
        </w:tc>
      </w:tr>
      <w:tr>
        <w:tc>
          <w:tcPr>
            <w:tcW w:type="dxa" w:w="3120"/>
          </w:tcPr>
          <w:p>
            <w:r/>
            <w:r>
              <w:rPr>
                <w:rFonts w:ascii="Times New Roman" w:hAnsi="Times New Roman"/>
                <w:b/>
                <w:sz w:val="16"/>
              </w:rPr>
              <w:t>RECORD 22.1</w:t>
            </w:r>
          </w:p>
        </w:tc>
        <w:tc>
          <w:tcPr>
            <w:tcW w:type="dxa" w:w="3120"/>
          </w:tcPr>
          <w:p>
            <w:r/>
            <w:r>
              <w:rPr>
                <w:rFonts w:ascii="Times New Roman" w:hAnsi="Times New Roman"/>
                <w:sz w:val="16"/>
              </w:rPr>
              <w:t>Authors should provide information on how to access any supplemental information such as the study protocol, raw data, or programming code.</w:t>
            </w:r>
          </w:p>
        </w:tc>
        <w:tc>
          <w:tcPr>
            <w:tcW w:type="dxa" w:w="3120"/>
          </w:tcPr>
          <w:p>
            <w:r/>
            <w:r>
              <w:rPr>
                <w:rFonts w:ascii="Times New Roman" w:hAnsi="Times New Roman"/>
                <w:sz w:val="16"/>
              </w:rPr>
              <w:t>Declarations: Data sharing; GitHub repository</w:t>
            </w:r>
          </w:p>
        </w:tc>
      </w:tr>
    </w:tbl>
    <w:p/>
    <w:p>
      <w:r>
        <w:br w:type="page"/>
      </w:r>
    </w:p>
    <w:p>
      <w:pPr>
        <w:pStyle w:val="Heading2"/>
      </w:pPr>
      <w:r>
        <w:rPr>
          <w:rFonts w:ascii="Times New Roman" w:hAnsi="Times New Roman"/>
          <w:color w:val="000000"/>
        </w:rPr>
        <w:t>Supplementary Table S2. Full ITS Segmented Regression Results (All 72 Models)</w:t>
      </w:r>
    </w:p>
    <w:p>
      <w:pPr>
        <w:spacing w:after="240" w:line="480" w:lineRule="auto"/>
      </w:pPr>
      <w:r>
        <w:rPr>
          <w:rFonts w:ascii="Times New Roman" w:hAnsi="Times New Roman"/>
          <w:b w:val="0"/>
          <w:i/>
          <w:sz w:val="24"/>
        </w:rPr>
        <w:t>Coefficients from segmented regression models: Yₜ = beta₀ + beta₁*time + beta₂*intervention + beta₃*time_after + beta₄*accident_rate + εₜ. P values &lt; 0.05 shown in bold in the source data.</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4"/>
              </w:rPr>
              <w:t>Specialty</w:t>
            </w:r>
          </w:p>
        </w:tc>
        <w:tc>
          <w:tcPr>
            <w:tcW w:type="dxa" w:w="1040"/>
          </w:tcPr>
          <w:p>
            <w:pPr>
              <w:jc w:val="center"/>
            </w:pPr>
            <w:r/>
            <w:r>
              <w:rPr>
                <w:rFonts w:ascii="Times New Roman" w:hAnsi="Times New Roman"/>
                <w:b/>
                <w:sz w:val="14"/>
              </w:rPr>
              <w:t>Definition</w:t>
            </w:r>
          </w:p>
        </w:tc>
        <w:tc>
          <w:tcPr>
            <w:tcW w:type="dxa" w:w="1040"/>
          </w:tcPr>
          <w:p>
            <w:pPr>
              <w:jc w:val="center"/>
            </w:pPr>
            <w:r/>
            <w:r>
              <w:rPr>
                <w:rFonts w:ascii="Times New Roman" w:hAnsi="Times New Roman"/>
                <w:b/>
                <w:sz w:val="14"/>
              </w:rPr>
              <w:t>Outcome</w:t>
            </w:r>
          </w:p>
        </w:tc>
        <w:tc>
          <w:tcPr>
            <w:tcW w:type="dxa" w:w="1040"/>
          </w:tcPr>
          <w:p>
            <w:pPr>
              <w:jc w:val="center"/>
            </w:pPr>
            <w:r/>
            <w:r>
              <w:rPr>
                <w:rFonts w:ascii="Times New Roman" w:hAnsi="Times New Roman"/>
                <w:b/>
                <w:sz w:val="14"/>
              </w:rPr>
              <w:t>R²</w:t>
            </w:r>
          </w:p>
        </w:tc>
        <w:tc>
          <w:tcPr>
            <w:tcW w:type="dxa" w:w="1040"/>
          </w:tcPr>
          <w:p>
            <w:pPr>
              <w:jc w:val="center"/>
            </w:pPr>
            <w:r/>
            <w:r>
              <w:rPr>
                <w:rFonts w:ascii="Times New Roman" w:hAnsi="Times New Roman"/>
                <w:b/>
                <w:sz w:val="14"/>
              </w:rPr>
              <w:t>Intervention yr</w:t>
            </w:r>
          </w:p>
        </w:tc>
        <w:tc>
          <w:tcPr>
            <w:tcW w:type="dxa" w:w="1040"/>
          </w:tcPr>
          <w:p>
            <w:pPr>
              <w:jc w:val="center"/>
            </w:pPr>
            <w:r/>
            <w:r>
              <w:rPr>
                <w:rFonts w:ascii="Times New Roman" w:hAnsi="Times New Roman"/>
                <w:b/>
                <w:sz w:val="14"/>
              </w:rPr>
              <w:t>Trend coef (P)</w:t>
            </w:r>
          </w:p>
        </w:tc>
        <w:tc>
          <w:tcPr>
            <w:tcW w:type="dxa" w:w="1040"/>
          </w:tcPr>
          <w:p>
            <w:pPr>
              <w:jc w:val="center"/>
            </w:pPr>
            <w:r/>
            <w:r>
              <w:rPr>
                <w:rFonts w:ascii="Times New Roman" w:hAnsi="Times New Roman"/>
                <w:b/>
                <w:sz w:val="14"/>
              </w:rPr>
              <w:t>Level change (P)</w:t>
            </w:r>
          </w:p>
        </w:tc>
        <w:tc>
          <w:tcPr>
            <w:tcW w:type="dxa" w:w="1040"/>
          </w:tcPr>
          <w:p>
            <w:pPr>
              <w:jc w:val="center"/>
            </w:pPr>
            <w:r/>
            <w:r>
              <w:rPr>
                <w:rFonts w:ascii="Times New Roman" w:hAnsi="Times New Roman"/>
                <w:b/>
                <w:sz w:val="14"/>
              </w:rPr>
              <w:t>Slope change (P)</w:t>
            </w:r>
          </w:p>
        </w:tc>
        <w:tc>
          <w:tcPr>
            <w:tcW w:type="dxa" w:w="1040"/>
          </w:tcPr>
          <w:p>
            <w:pPr>
              <w:jc w:val="center"/>
            </w:pPr>
            <w:r/>
            <w:r>
              <w:rPr>
                <w:rFonts w:ascii="Times New Roman" w:hAnsi="Times New Roman"/>
                <w:b/>
                <w:sz w:val="14"/>
              </w:rPr>
              <w:t>Accident effect (P)</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374.4 (0.000)</w:t>
            </w:r>
          </w:p>
        </w:tc>
        <w:tc>
          <w:tcPr>
            <w:tcW w:type="dxa" w:w="1040"/>
          </w:tcPr>
          <w:p>
            <w:pPr>
              <w:jc w:val="center"/>
            </w:pPr>
            <w:r/>
            <w:r>
              <w:rPr>
                <w:rFonts w:ascii="Times New Roman" w:hAnsi="Times New Roman"/>
                <w:sz w:val="14"/>
              </w:rPr>
              <w:t>-82.6 (0.302)</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1.8 (0.407)</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-245.4 (0.000)</w:t>
            </w:r>
          </w:p>
        </w:tc>
        <w:tc>
          <w:tcPr>
            <w:tcW w:type="dxa" w:w="1040"/>
          </w:tcPr>
          <w:p>
            <w:pPr>
              <w:jc w:val="center"/>
            </w:pPr>
            <w:r/>
            <w:r>
              <w:rPr>
                <w:rFonts w:ascii="Times New Roman" w:hAnsi="Times New Roman"/>
                <w:sz w:val="14"/>
              </w:rPr>
              <w:t>253.4 (0.050)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-5.1 (0.119)</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0.910</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321.1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17.4 (0.033)</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0.979</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-358.2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15.6 (0.015)</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0.992</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-247.5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-3.0 (0.093)</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0.993</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-339.6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-2.4 (0.264)</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0.987</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-310.8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20.7 (0.000)</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0.995</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-402.8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13.5 (0.000)</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159.5 (0.040)</w:t>
            </w:r>
          </w:p>
        </w:tc>
        <w:tc>
          <w:tcPr>
            <w:tcW w:type="dxa" w:w="1040"/>
          </w:tcPr>
          <w:p>
            <w:pPr>
              <w:jc w:val="center"/>
            </w:pPr>
            <w:r/>
            <w:r>
              <w:rPr>
                <w:rFonts w:ascii="Times New Roman" w:hAnsi="Times New Roman"/>
                <w:sz w:val="14"/>
              </w:rPr>
              <w:t>43.9 (0.557)</w:t>
            </w:r>
          </w:p>
        </w:tc>
        <w:tc>
          <w:tcPr>
            <w:tcW w:type="dxa" w:w="1040"/>
          </w:tcPr>
          <w:p>
            <w:pPr>
              <w:jc w:val="center"/>
            </w:pPr>
            <w:r/>
            <w:r>
              <w:rPr>
                <w:rFonts w:ascii="Times New Roman" w:hAnsi="Times New Roman"/>
                <w:sz w:val="14"/>
              </w:rPr>
              <w:t>29.9 (0.638)</w:t>
            </w:r>
          </w:p>
        </w:tc>
        <w:tc>
          <w:tcPr>
            <w:tcW w:type="dxa" w:w="1040"/>
          </w:tcPr>
          <w:p>
            <w:pPr>
              <w:jc w:val="center"/>
            </w:pPr>
            <w:r/>
            <w:r>
              <w:rPr>
                <w:rFonts w:ascii="Times New Roman" w:hAnsi="Times New Roman"/>
                <w:sz w:val="14"/>
              </w:rPr>
              <w:t>1.2 (0.552)</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0.996</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-62.6 (0.023)</w:t>
            </w:r>
          </w:p>
        </w:tc>
        <w:tc>
          <w:tcPr>
            <w:tcW w:type="dxa" w:w="1040"/>
          </w:tcPr>
          <w:p>
            <w:pPr>
              <w:jc w:val="center"/>
            </w:pPr>
            <w:r/>
            <w:r>
              <w:rPr>
                <w:rFonts w:ascii="Times New Roman" w:hAnsi="Times New Roman"/>
                <w:sz w:val="14"/>
              </w:rPr>
              <w:t>10.2 (0.682)</w:t>
            </w:r>
          </w:p>
        </w:tc>
        <w:tc>
          <w:tcPr>
            <w:tcW w:type="dxa" w:w="1040"/>
          </w:tcPr>
          <w:p>
            <w:pPr>
              <w:jc w:val="center"/>
            </w:pPr>
            <w:r/>
            <w:r>
              <w:rPr>
                <w:rFonts w:ascii="Times New Roman" w:hAnsi="Times New Roman"/>
                <w:sz w:val="14"/>
              </w:rPr>
              <w:t>33.8 (0.154)</w:t>
            </w:r>
          </w:p>
        </w:tc>
        <w:tc>
          <w:tcPr>
            <w:tcW w:type="dxa" w:w="1040"/>
          </w:tcPr>
          <w:p>
            <w:pPr>
              <w:jc w:val="center"/>
            </w:pPr>
            <w:r/>
            <w:r>
              <w:rPr>
                <w:rFonts w:ascii="Times New Roman" w:hAnsi="Times New Roman"/>
                <w:sz w:val="14"/>
              </w:rPr>
              <w:t>0.5 (0.460)</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0.993</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179.2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10.7 (0.000)</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0.995</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-45.8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5.3 (0.000)</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88.0 (0.000)</w:t>
            </w:r>
          </w:p>
        </w:tc>
        <w:tc>
          <w:tcPr>
            <w:tcW w:type="dxa" w:w="1040"/>
          </w:tcPr>
          <w:p>
            <w:pPr>
              <w:jc w:val="center"/>
            </w:pPr>
            <w:r/>
            <w:r>
              <w:rPr>
                <w:rFonts w:ascii="Times New Roman" w:hAnsi="Times New Roman"/>
                <w:sz w:val="14"/>
              </w:rPr>
              <w:t>-38.2 (0.060)</w:t>
            </w:r>
          </w:p>
        </w:tc>
        <w:tc>
          <w:tcPr>
            <w:tcW w:type="dxa" w:w="1040"/>
          </w:tcPr>
          <w:p>
            <w:pPr>
              <w:jc w:val="center"/>
            </w:pPr>
            <w:r/>
            <w:r>
              <w:rPr>
                <w:rFonts w:ascii="Times New Roman" w:hAnsi="Times New Roman"/>
                <w:sz w:val="14"/>
              </w:rPr>
              <w:t>3.8 (0.570)</w:t>
            </w:r>
          </w:p>
        </w:tc>
        <w:tc>
          <w:tcPr>
            <w:tcW w:type="dxa" w:w="1040"/>
          </w:tcPr>
          <w:p>
            <w:pPr>
              <w:jc w:val="center"/>
            </w:pPr>
            <w:r/>
            <w:r>
              <w:rPr>
                <w:rFonts w:ascii="Times New Roman" w:hAnsi="Times New Roman"/>
                <w:sz w:val="14"/>
              </w:rPr>
              <w:t>4.9 (0.167)</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82.5 (0.000)</w:t>
            </w:r>
          </w:p>
        </w:tc>
        <w:tc>
          <w:tcPr>
            <w:tcW w:type="dxa" w:w="1040"/>
          </w:tcPr>
          <w:p>
            <w:pPr>
              <w:jc w:val="center"/>
            </w:pPr>
            <w:r/>
            <w:r>
              <w:rPr>
                <w:rFonts w:ascii="Times New Roman" w:hAnsi="Times New Roman"/>
                <w:sz w:val="14"/>
              </w:rPr>
              <w:t>-7.3 (0.411)</w:t>
            </w:r>
          </w:p>
        </w:tc>
        <w:tc>
          <w:tcPr>
            <w:tcW w:type="dxa" w:w="1040"/>
          </w:tcPr>
          <w:p>
            <w:pPr>
              <w:jc w:val="center"/>
            </w:pPr>
            <w:r/>
            <w:r>
              <w:rPr>
                <w:rFonts w:ascii="Times New Roman" w:hAnsi="Times New Roman"/>
                <w:sz w:val="14"/>
              </w:rPr>
              <w:t>13.4 (0.009)</w:t>
            </w:r>
          </w:p>
        </w:tc>
        <w:tc>
          <w:tcPr>
            <w:tcW w:type="dxa" w:w="1040"/>
          </w:tcPr>
          <w:p>
            <w:pPr>
              <w:jc w:val="center"/>
            </w:pPr>
            <w:r/>
            <w:r>
              <w:rPr>
                <w:rFonts w:ascii="Times New Roman" w:hAnsi="Times New Roman"/>
                <w:sz w:val="14"/>
              </w:rPr>
              <w:t>2.0 (0.248)</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86.9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-0.8 (0.110)</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2019</w:t>
            </w:r>
          </w:p>
        </w:tc>
        <w:tc>
          <w:tcPr>
            <w:tcW w:type="dxa" w:w="1040"/>
          </w:tcPr>
          <w:p>
            <w:pPr>
              <w:jc w:val="center"/>
            </w:pPr>
            <w:r/>
            <w:r>
              <w:rPr>
                <w:rFonts w:ascii="Times New Roman" w:hAnsi="Times New Roman"/>
                <w:sz w:val="14"/>
              </w:rPr>
              <w:t>72.9 (0.000)</w:t>
            </w:r>
          </w:p>
        </w:tc>
        <w:tc>
          <w:tcPr>
            <w:tcW w:type="dxa" w:w="1040"/>
          </w:tcPr>
          <w:p>
            <w:pPr>
              <w:jc w:val="center"/>
            </w:pPr>
            <w:r/>
            <w:r>
              <w:rPr>
                <w:rFonts w:ascii="Times New Roman" w:hAnsi="Times New Roman"/>
                <w:sz w:val="14"/>
              </w:rPr>
              <w:t>5.9 (0.776)</w:t>
            </w:r>
          </w:p>
        </w:tc>
        <w:tc>
          <w:tcPr>
            <w:tcW w:type="dxa" w:w="1040"/>
          </w:tcPr>
          <w:p>
            <w:pPr>
              <w:jc w:val="center"/>
            </w:pPr>
            <w:r/>
            <w:r>
              <w:rPr>
                <w:rFonts w:ascii="Times New Roman" w:hAnsi="Times New Roman"/>
                <w:sz w:val="14"/>
              </w:rPr>
              <w:t>22.9 (0.001)</w:t>
            </w:r>
          </w:p>
        </w:tc>
        <w:tc>
          <w:tcPr>
            <w:tcW w:type="dxa" w:w="1040"/>
          </w:tcPr>
          <w:p>
            <w:pPr>
              <w:jc w:val="center"/>
            </w:pPr>
            <w:r/>
            <w:r>
              <w:rPr>
                <w:rFonts w:ascii="Times New Roman" w:hAnsi="Times New Roman"/>
                <w:sz w:val="14"/>
              </w:rPr>
              <w:t>4.1 (0.005)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0.995</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-10.1 (0.895)</w:t>
            </w:r>
          </w:p>
        </w:tc>
        <w:tc>
          <w:tcPr>
            <w:tcW w:type="dxa" w:w="1040"/>
          </w:tcPr>
          <w:p>
            <w:pPr>
              <w:jc w:val="center"/>
            </w:pPr>
            <w:r/>
            <w:r>
              <w:rPr>
                <w:rFonts w:ascii="Times New Roman" w:hAnsi="Times New Roman"/>
                <w:sz w:val="14"/>
              </w:rPr>
              <w:t>91.1 (0.327)</w:t>
            </w:r>
          </w:p>
        </w:tc>
        <w:tc>
          <w:tcPr>
            <w:tcW w:type="dxa" w:w="1040"/>
          </w:tcPr>
          <w:p>
            <w:pPr>
              <w:jc w:val="center"/>
            </w:pPr>
            <w:r/>
            <w:r>
              <w:rPr>
                <w:rFonts w:ascii="Times New Roman" w:hAnsi="Times New Roman"/>
                <w:sz w:val="14"/>
              </w:rPr>
              <w:t>132.7 (0.158)</w:t>
            </w:r>
          </w:p>
        </w:tc>
        <w:tc>
          <w:tcPr>
            <w:tcW w:type="dxa" w:w="1040"/>
          </w:tcPr>
          <w:p>
            <w:pPr>
              <w:jc w:val="center"/>
            </w:pPr>
            <w:r/>
            <w:r>
              <w:rPr>
                <w:rFonts w:ascii="Times New Roman" w:hAnsi="Times New Roman"/>
                <w:sz w:val="14"/>
              </w:rPr>
              <w:t>17.7 (0.021)</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-132.2 (0.002)</w:t>
            </w:r>
          </w:p>
        </w:tc>
        <w:tc>
          <w:tcPr>
            <w:tcW w:type="dxa" w:w="1040"/>
          </w:tcPr>
          <w:p>
            <w:pPr>
              <w:jc w:val="center"/>
            </w:pPr>
            <w:r/>
            <w:r>
              <w:rPr>
                <w:rFonts w:ascii="Times New Roman" w:hAnsi="Times New Roman"/>
                <w:sz w:val="14"/>
              </w:rPr>
              <w:t>26.0 (0.347)</w:t>
            </w:r>
          </w:p>
        </w:tc>
        <w:tc>
          <w:tcPr>
            <w:tcW w:type="dxa" w:w="1040"/>
          </w:tcPr>
          <w:p>
            <w:pPr>
              <w:jc w:val="center"/>
            </w:pPr>
            <w:r/>
            <w:r>
              <w:rPr>
                <w:rFonts w:ascii="Times New Roman" w:hAnsi="Times New Roman"/>
                <w:sz w:val="14"/>
              </w:rPr>
              <w:t>81.3 (0.019)</w:t>
            </w:r>
          </w:p>
        </w:tc>
        <w:tc>
          <w:tcPr>
            <w:tcW w:type="dxa" w:w="1040"/>
          </w:tcPr>
          <w:p>
            <w:pPr>
              <w:jc w:val="center"/>
            </w:pPr>
            <w:r/>
            <w:r>
              <w:rPr>
                <w:rFonts w:ascii="Times New Roman" w:hAnsi="Times New Roman"/>
                <w:sz w:val="14"/>
              </w:rPr>
              <w:t>4.3 (0.042)</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0.977</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71.5 (0.606)</w:t>
            </w:r>
          </w:p>
        </w:tc>
        <w:tc>
          <w:tcPr>
            <w:tcW w:type="dxa" w:w="1040"/>
          </w:tcPr>
          <w:p>
            <w:pPr>
              <w:jc w:val="center"/>
            </w:pPr>
            <w:r/>
            <w:r>
              <w:rPr>
                <w:rFonts w:ascii="Times New Roman" w:hAnsi="Times New Roman"/>
                <w:sz w:val="14"/>
              </w:rPr>
              <w:t>-663.9 (0.007)</w:t>
            </w:r>
          </w:p>
        </w:tc>
        <w:tc>
          <w:tcPr>
            <w:tcW w:type="dxa" w:w="1040"/>
          </w:tcPr>
          <w:p>
            <w:pPr>
              <w:jc w:val="center"/>
            </w:pPr>
            <w:r/>
            <w:r>
              <w:rPr>
                <w:rFonts w:ascii="Times New Roman" w:hAnsi="Times New Roman"/>
                <w:sz w:val="14"/>
              </w:rPr>
              <w:t>92.5 (0.499)</w:t>
            </w:r>
          </w:p>
        </w:tc>
        <w:tc>
          <w:tcPr>
            <w:tcW w:type="dxa" w:w="1040"/>
          </w:tcPr>
          <w:p>
            <w:pPr>
              <w:jc w:val="center"/>
            </w:pPr>
            <w:r/>
            <w:r>
              <w:rPr>
                <w:rFonts w:ascii="Times New Roman" w:hAnsi="Times New Roman"/>
                <w:sz w:val="14"/>
              </w:rPr>
              <w:t>11.6 (0.000)</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0.984</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-69.6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5.4 (0.002)</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213.4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-6.0 (0.325)</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0.993</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-181.5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0.1 (0.987)</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0.964</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255.4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20.2 (0.513)</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-202.3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30.9 (0.074)</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276.8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-1.3 (0.884)</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35.0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0.0 (0.068)</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0.987</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286.5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1.2 (0.909)</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33.7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1.4 (0.004)</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4.4 (0.681)</w:t>
            </w:r>
          </w:p>
        </w:tc>
        <w:tc>
          <w:tcPr>
            <w:tcW w:type="dxa" w:w="1040"/>
          </w:tcPr>
          <w:p>
            <w:pPr>
              <w:jc w:val="center"/>
            </w:pPr>
            <w:r/>
            <w:r>
              <w:rPr>
                <w:rFonts w:ascii="Times New Roman" w:hAnsi="Times New Roman"/>
                <w:sz w:val="14"/>
              </w:rPr>
              <w:t>7.7 (0.113)</w:t>
            </w:r>
          </w:p>
        </w:tc>
        <w:tc>
          <w:tcPr>
            <w:tcW w:type="dxa" w:w="1040"/>
          </w:tcPr>
          <w:p>
            <w:pPr>
              <w:jc w:val="center"/>
            </w:pPr>
            <w:r/>
            <w:r>
              <w:rPr>
                <w:rFonts w:ascii="Times New Roman" w:hAnsi="Times New Roman"/>
                <w:sz w:val="14"/>
              </w:rPr>
              <w:t>2.7 (0.329)</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-87.5 (0.000)</w:t>
            </w:r>
          </w:p>
        </w:tc>
        <w:tc>
          <w:tcPr>
            <w:tcW w:type="dxa" w:w="1040"/>
          </w:tcPr>
          <w:p>
            <w:pPr>
              <w:jc w:val="center"/>
            </w:pPr>
            <w:r/>
            <w:r>
              <w:rPr>
                <w:rFonts w:ascii="Times New Roman" w:hAnsi="Times New Roman"/>
                <w:sz w:val="14"/>
              </w:rPr>
              <w:t>-9.3 (0.173)</w:t>
            </w:r>
          </w:p>
        </w:tc>
        <w:tc>
          <w:tcPr>
            <w:tcW w:type="dxa" w:w="1040"/>
          </w:tcPr>
          <w:p>
            <w:pPr>
              <w:jc w:val="center"/>
            </w:pPr>
            <w:r/>
            <w:r>
              <w:rPr>
                <w:rFonts w:ascii="Times New Roman" w:hAnsi="Times New Roman"/>
                <w:sz w:val="14"/>
              </w:rPr>
              <w:t>13.8 (0.002)</w:t>
            </w:r>
          </w:p>
        </w:tc>
        <w:tc>
          <w:tcPr>
            <w:tcW w:type="dxa" w:w="1040"/>
          </w:tcPr>
          <w:p>
            <w:pPr>
              <w:jc w:val="center"/>
            </w:pPr>
            <w:r/>
            <w:r>
              <w:rPr>
                <w:rFonts w:ascii="Times New Roman" w:hAnsi="Times New Roman"/>
                <w:sz w:val="14"/>
              </w:rPr>
              <w:t>4.1 (0.039)</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0.962</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58.3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14.3 (0.038)</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-86.1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3.2 (0.256)</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0.893</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-18.9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1.2 (0.690)</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-95.2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-0.2 (0.921)</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0.757</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4.4 (0.520)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31.2 (0.005)</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-105.0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4.9 (0.387)</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76.8 (0.000)</w:t>
            </w:r>
          </w:p>
        </w:tc>
        <w:tc>
          <w:tcPr>
            <w:tcW w:type="dxa" w:w="1040"/>
          </w:tcPr>
          <w:p>
            <w:pPr>
              <w:jc w:val="center"/>
            </w:pPr>
            <w:r/>
            <w:r>
              <w:rPr>
                <w:rFonts w:ascii="Times New Roman" w:hAnsi="Times New Roman"/>
                <w:sz w:val="14"/>
              </w:rPr>
              <w:t>10.3 (0.454)</w:t>
            </w:r>
          </w:p>
        </w:tc>
        <w:tc>
          <w:tcPr>
            <w:tcW w:type="dxa" w:w="1040"/>
          </w:tcPr>
          <w:p>
            <w:pPr>
              <w:jc w:val="center"/>
            </w:pPr>
            <w:r/>
            <w:r>
              <w:rPr>
                <w:rFonts w:ascii="Times New Roman" w:hAnsi="Times New Roman"/>
                <w:sz w:val="14"/>
              </w:rPr>
              <w:t>-16.9 (0.048)</w:t>
            </w:r>
          </w:p>
        </w:tc>
        <w:tc>
          <w:tcPr>
            <w:tcW w:type="dxa" w:w="1040"/>
          </w:tcPr>
          <w:p>
            <w:pPr>
              <w:jc w:val="center"/>
            </w:pPr>
            <w:r/>
            <w:r>
              <w:rPr>
                <w:rFonts w:ascii="Times New Roman" w:hAnsi="Times New Roman"/>
                <w:sz w:val="14"/>
              </w:rPr>
              <w:t>-0.2 (0.824)</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-7.4 (0.003)</w:t>
            </w:r>
          </w:p>
        </w:tc>
        <w:tc>
          <w:tcPr>
            <w:tcW w:type="dxa" w:w="1040"/>
          </w:tcPr>
          <w:p>
            <w:pPr>
              <w:jc w:val="center"/>
            </w:pPr>
            <w:r/>
            <w:r>
              <w:rPr>
                <w:rFonts w:ascii="Times New Roman" w:hAnsi="Times New Roman"/>
                <w:sz w:val="14"/>
              </w:rPr>
              <w:t>1.5 (0.615)</w:t>
            </w:r>
          </w:p>
        </w:tc>
        <w:tc>
          <w:tcPr>
            <w:tcW w:type="dxa" w:w="1040"/>
          </w:tcPr>
          <w:p>
            <w:pPr>
              <w:jc w:val="center"/>
            </w:pPr>
            <w:r/>
            <w:r>
              <w:rPr>
                <w:rFonts w:ascii="Times New Roman" w:hAnsi="Times New Roman"/>
                <w:sz w:val="14"/>
              </w:rPr>
              <w:t>4.2 (0.032)</w:t>
            </w:r>
          </w:p>
        </w:tc>
        <w:tc>
          <w:tcPr>
            <w:tcW w:type="dxa" w:w="1040"/>
          </w:tcPr>
          <w:p>
            <w:pPr>
              <w:jc w:val="center"/>
            </w:pPr>
            <w:r/>
            <w:r>
              <w:rPr>
                <w:rFonts w:ascii="Times New Roman" w:hAnsi="Times New Roman"/>
                <w:sz w:val="14"/>
              </w:rPr>
              <w:t>-0.0 (0.934)</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65.9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2.4 (0.497)</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0.956</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-10.3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6.7 (0.001)</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119.8 (0.000)</w:t>
            </w:r>
          </w:p>
        </w:tc>
        <w:tc>
          <w:tcPr>
            <w:tcW w:type="dxa" w:w="1040"/>
          </w:tcPr>
          <w:p>
            <w:pPr>
              <w:jc w:val="center"/>
            </w:pPr>
            <w:r/>
            <w:r>
              <w:rPr>
                <w:rFonts w:ascii="Times New Roman" w:hAnsi="Times New Roman"/>
                <w:sz w:val="14"/>
              </w:rPr>
              <w:t>-16.3 (0.106)</w:t>
            </w:r>
          </w:p>
        </w:tc>
        <w:tc>
          <w:tcPr>
            <w:tcW w:type="dxa" w:w="1040"/>
          </w:tcPr>
          <w:p>
            <w:pPr>
              <w:jc w:val="center"/>
            </w:pPr>
            <w:r/>
            <w:r>
              <w:rPr>
                <w:rFonts w:ascii="Times New Roman" w:hAnsi="Times New Roman"/>
                <w:sz w:val="14"/>
              </w:rPr>
              <w:t>2.0 (0.628)</w:t>
            </w:r>
          </w:p>
        </w:tc>
        <w:tc>
          <w:tcPr>
            <w:tcW w:type="dxa" w:w="1040"/>
          </w:tcPr>
          <w:p>
            <w:pPr>
              <w:jc w:val="center"/>
            </w:pPr>
            <w:r/>
            <w:r>
              <w:rPr>
                <w:rFonts w:ascii="Times New Roman" w:hAnsi="Times New Roman"/>
                <w:sz w:val="14"/>
              </w:rPr>
              <w:t>-0.0 (0.987)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(0.876)</w:t>
            </w:r>
          </w:p>
        </w:tc>
        <w:tc>
          <w:tcPr>
            <w:tcW w:type="dxa" w:w="1040"/>
          </w:tcPr>
          <w:p>
            <w:pPr>
              <w:jc w:val="center"/>
            </w:pPr>
            <w:r/>
            <w:r>
              <w:rPr>
                <w:rFonts w:ascii="Times New Roman" w:hAnsi="Times New Roman"/>
                <w:sz w:val="14"/>
              </w:rPr>
              <w:t>0.0 (1.000)</w:t>
            </w:r>
          </w:p>
        </w:tc>
        <w:tc>
          <w:tcPr>
            <w:tcW w:type="dxa" w:w="1040"/>
          </w:tcPr>
          <w:p>
            <w:pPr>
              <w:jc w:val="center"/>
            </w:pPr>
            <w:r/>
            <w:r>
              <w:rPr>
                <w:rFonts w:ascii="Times New Roman" w:hAnsi="Times New Roman"/>
                <w:sz w:val="14"/>
              </w:rPr>
              <w:t>0.0 (0.432)</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0.979</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120.4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31.1 (0.009)</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48.9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4.4 (0.005)</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195.2 (0.000)</w:t>
            </w:r>
          </w:p>
        </w:tc>
        <w:tc>
          <w:tcPr>
            <w:tcW w:type="dxa" w:w="1040"/>
          </w:tcPr>
          <w:p>
            <w:pPr>
              <w:jc w:val="center"/>
            </w:pPr>
            <w:r/>
            <w:r>
              <w:rPr>
                <w:rFonts w:ascii="Times New Roman" w:hAnsi="Times New Roman"/>
                <w:sz w:val="14"/>
              </w:rPr>
              <w:t>-37.2 (0.070)</w:t>
            </w:r>
          </w:p>
        </w:tc>
        <w:tc>
          <w:tcPr>
            <w:tcW w:type="dxa" w:w="1040"/>
          </w:tcPr>
          <w:p>
            <w:pPr>
              <w:jc w:val="center"/>
            </w:pPr>
            <w:r/>
            <w:r>
              <w:rPr>
                <w:rFonts w:ascii="Times New Roman" w:hAnsi="Times New Roman"/>
                <w:sz w:val="14"/>
              </w:rPr>
              <w:t>-7.6 (0.226)</w:t>
            </w:r>
          </w:p>
        </w:tc>
        <w:tc>
          <w:tcPr>
            <w:tcW w:type="dxa" w:w="1040"/>
          </w:tcPr>
          <w:p>
            <w:pPr>
              <w:jc w:val="center"/>
            </w:pPr>
            <w:r/>
            <w:r>
              <w:rPr>
                <w:rFonts w:ascii="Times New Roman" w:hAnsi="Times New Roman"/>
                <w:sz w:val="14"/>
              </w:rPr>
              <w:t>6.0 (0.374)</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68.9 (0.000)</w:t>
            </w:r>
          </w:p>
        </w:tc>
        <w:tc>
          <w:tcPr>
            <w:tcW w:type="dxa" w:w="1040"/>
          </w:tcPr>
          <w:p>
            <w:pPr>
              <w:jc w:val="center"/>
            </w:pPr>
            <w:r/>
            <w:r>
              <w:rPr>
                <w:rFonts w:ascii="Times New Roman" w:hAnsi="Times New Roman"/>
                <w:sz w:val="14"/>
              </w:rPr>
              <w:t>-0.6 (0.837)</w:t>
            </w:r>
          </w:p>
        </w:tc>
        <w:tc>
          <w:tcPr>
            <w:tcW w:type="dxa" w:w="1040"/>
          </w:tcPr>
          <w:p>
            <w:pPr>
              <w:jc w:val="center"/>
            </w:pPr>
            <w:r/>
            <w:r>
              <w:rPr>
                <w:rFonts w:ascii="Times New Roman" w:hAnsi="Times New Roman"/>
                <w:sz w:val="14"/>
              </w:rPr>
              <w:t>8.7 (0.000)</w:t>
            </w:r>
          </w:p>
        </w:tc>
        <w:tc>
          <w:tcPr>
            <w:tcW w:type="dxa" w:w="1040"/>
          </w:tcPr>
          <w:p>
            <w:pPr>
              <w:jc w:val="center"/>
            </w:pPr>
            <w:r/>
            <w:r>
              <w:rPr>
                <w:rFonts w:ascii="Times New Roman" w:hAnsi="Times New Roman"/>
                <w:sz w:val="14"/>
              </w:rPr>
              <w:t>0.9 (0.452)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2004</w:t>
            </w:r>
          </w:p>
        </w:tc>
        <w:tc>
          <w:tcPr>
            <w:tcW w:type="dxa" w:w="1040"/>
          </w:tcPr>
          <w:p>
            <w:pPr>
              <w:jc w:val="center"/>
            </w:pPr>
            <w:r/>
            <w:r>
              <w:rPr>
                <w:rFonts w:ascii="Times New Roman" w:hAnsi="Times New Roman"/>
                <w:sz w:val="14"/>
              </w:rPr>
              <w:t>185.9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-9.8 (0.055)</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0.996</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60.7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17.3 (0.000)</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402.0 (0.000)</w:t>
            </w:r>
          </w:p>
        </w:tc>
        <w:tc>
          <w:tcPr>
            <w:tcW w:type="dxa" w:w="1040"/>
          </w:tcPr>
          <w:p>
            <w:pPr>
              <w:jc w:val="center"/>
            </w:pPr>
            <w:r/>
            <w:r>
              <w:rPr>
                <w:rFonts w:ascii="Times New Roman" w:hAnsi="Times New Roman"/>
                <w:sz w:val="14"/>
              </w:rPr>
              <w:t>-111.4 (0.153)</w:t>
            </w:r>
          </w:p>
        </w:tc>
        <w:tc>
          <w:tcPr>
            <w:tcW w:type="dxa" w:w="1040"/>
          </w:tcPr>
          <w:p>
            <w:pPr>
              <w:jc w:val="center"/>
            </w:pPr>
            <w:r/>
            <w:r>
              <w:rPr>
                <w:rFonts w:ascii="Times New Roman" w:hAnsi="Times New Roman"/>
                <w:sz w:val="14"/>
              </w:rPr>
              <w:t>-47.2 (0.302)</w:t>
            </w:r>
          </w:p>
        </w:tc>
        <w:tc>
          <w:tcPr>
            <w:tcW w:type="dxa" w:w="1040"/>
          </w:tcPr>
          <w:p>
            <w:pPr>
              <w:jc w:val="center"/>
            </w:pPr>
            <w:r/>
            <w:r>
              <w:rPr>
                <w:rFonts w:ascii="Times New Roman" w:hAnsi="Times New Roman"/>
                <w:sz w:val="14"/>
              </w:rPr>
              <w:t>22.9 (0.848)</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-291.6 (0.000)</w:t>
            </w:r>
          </w:p>
        </w:tc>
        <w:tc>
          <w:tcPr>
            <w:tcW w:type="dxa" w:w="1040"/>
          </w:tcPr>
          <w:p>
            <w:pPr>
              <w:jc w:val="center"/>
            </w:pPr>
            <w:r/>
            <w:r>
              <w:rPr>
                <w:rFonts w:ascii="Times New Roman" w:hAnsi="Times New Roman"/>
                <w:sz w:val="14"/>
              </w:rPr>
              <w:t>188.5 (0.040)</w:t>
            </w:r>
          </w:p>
        </w:tc>
        <w:tc>
          <w:tcPr>
            <w:tcW w:type="dxa" w:w="1040"/>
          </w:tcPr>
          <w:p>
            <w:pPr>
              <w:jc w:val="center"/>
            </w:pPr>
            <w:r/>
            <w:r>
              <w:rPr>
                <w:rFonts w:ascii="Times New Roman" w:hAnsi="Times New Roman"/>
                <w:sz w:val="14"/>
              </w:rPr>
              <w:t>79.0 (0.117)</w:t>
            </w:r>
          </w:p>
        </w:tc>
        <w:tc>
          <w:tcPr>
            <w:tcW w:type="dxa" w:w="1040"/>
          </w:tcPr>
          <w:p>
            <w:pPr>
              <w:jc w:val="center"/>
            </w:pPr>
            <w:r/>
            <w:r>
              <w:rPr>
                <w:rFonts w:ascii="Times New Roman" w:hAnsi="Times New Roman"/>
                <w:sz w:val="14"/>
              </w:rPr>
              <w:t>-191.3 (0.162)</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-254.2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34.2 (0.835)</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0.994</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-350.1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105.7 (0.543)</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187.2 (0.000)</w:t>
            </w:r>
          </w:p>
        </w:tc>
        <w:tc>
          <w:tcPr>
            <w:tcW w:type="dxa" w:w="1040"/>
          </w:tcPr>
          <w:p>
            <w:pPr>
              <w:jc w:val="center"/>
            </w:pPr>
            <w:r/>
            <w:r>
              <w:rPr>
                <w:rFonts w:ascii="Times New Roman" w:hAnsi="Times New Roman"/>
                <w:sz w:val="14"/>
              </w:rPr>
              <w:t>-34.3 (0.404)</w:t>
            </w:r>
          </w:p>
        </w:tc>
        <w:tc>
          <w:tcPr>
            <w:tcW w:type="dxa" w:w="1040"/>
          </w:tcPr>
          <w:p>
            <w:pPr>
              <w:jc w:val="center"/>
            </w:pPr>
            <w:r/>
            <w:r>
              <w:rPr>
                <w:rFonts w:ascii="Times New Roman" w:hAnsi="Times New Roman"/>
                <w:sz w:val="14"/>
              </w:rPr>
              <w:t>15.6 (0.411)</w:t>
            </w:r>
          </w:p>
        </w:tc>
        <w:tc>
          <w:tcPr>
            <w:tcW w:type="dxa" w:w="1040"/>
          </w:tcPr>
          <w:p>
            <w:pPr>
              <w:jc w:val="center"/>
            </w:pPr>
            <w:r/>
            <w:r>
              <w:rPr>
                <w:rFonts w:ascii="Times New Roman" w:hAnsi="Times New Roman"/>
                <w:sz w:val="14"/>
              </w:rPr>
              <w:t>63.0 (0.336)</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-39.4 (0.000)</w:t>
            </w:r>
          </w:p>
        </w:tc>
        <w:tc>
          <w:tcPr>
            <w:tcW w:type="dxa" w:w="1040"/>
          </w:tcPr>
          <w:p>
            <w:pPr>
              <w:jc w:val="center"/>
            </w:pPr>
            <w:r/>
            <w:r>
              <w:rPr>
                <w:rFonts w:ascii="Times New Roman" w:hAnsi="Times New Roman"/>
                <w:sz w:val="14"/>
              </w:rPr>
              <w:t>28.2 (0.004)</w:t>
            </w:r>
          </w:p>
        </w:tc>
        <w:tc>
          <w:tcPr>
            <w:tcW w:type="dxa" w:w="1040"/>
          </w:tcPr>
          <w:p>
            <w:pPr>
              <w:jc w:val="center"/>
            </w:pPr>
            <w:r/>
            <w:r>
              <w:rPr>
                <w:rFonts w:ascii="Times New Roman" w:hAnsi="Times New Roman"/>
                <w:sz w:val="14"/>
              </w:rPr>
              <w:t>14.0 (0.003)</w:t>
            </w:r>
          </w:p>
        </w:tc>
        <w:tc>
          <w:tcPr>
            <w:tcW w:type="dxa" w:w="1040"/>
          </w:tcPr>
          <w:p>
            <w:pPr>
              <w:jc w:val="center"/>
            </w:pPr>
            <w:r/>
            <w:r>
              <w:rPr>
                <w:rFonts w:ascii="Times New Roman" w:hAnsi="Times New Roman"/>
                <w:sz w:val="14"/>
              </w:rPr>
              <w:t>-23.4 (0.033)</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88.7 (0.000)</w:t>
            </w:r>
          </w:p>
        </w:tc>
        <w:tc>
          <w:tcPr>
            <w:tcW w:type="dxa" w:w="1040"/>
          </w:tcPr>
          <w:p>
            <w:pPr>
              <w:jc w:val="center"/>
            </w:pPr>
            <w:r/>
            <w:r>
              <w:rPr>
                <w:rFonts w:ascii="Times New Roman" w:hAnsi="Times New Roman"/>
                <w:sz w:val="14"/>
              </w:rPr>
              <w:t>-52.7 (0.081)</w:t>
            </w:r>
          </w:p>
        </w:tc>
        <w:tc>
          <w:tcPr>
            <w:tcW w:type="dxa" w:w="1040"/>
          </w:tcPr>
          <w:p>
            <w:pPr>
              <w:jc w:val="center"/>
            </w:pPr>
            <w:r/>
            <w:r>
              <w:rPr>
                <w:rFonts w:ascii="Times New Roman" w:hAnsi="Times New Roman"/>
                <w:sz w:val="14"/>
              </w:rPr>
              <w:t>3.2 (0.668)</w:t>
            </w:r>
          </w:p>
        </w:tc>
        <w:tc>
          <w:tcPr>
            <w:tcW w:type="dxa" w:w="1040"/>
          </w:tcPr>
          <w:p>
            <w:pPr>
              <w:jc w:val="center"/>
            </w:pPr>
            <w:r/>
            <w:r>
              <w:rPr>
                <w:rFonts w:ascii="Times New Roman" w:hAnsi="Times New Roman"/>
                <w:sz w:val="14"/>
              </w:rPr>
              <w:t>33.9 (0.191)</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82.7 (0.000)</w:t>
            </w:r>
          </w:p>
        </w:tc>
        <w:tc>
          <w:tcPr>
            <w:tcW w:type="dxa" w:w="1040"/>
          </w:tcPr>
          <w:p>
            <w:pPr>
              <w:jc w:val="center"/>
            </w:pPr>
            <w:r/>
            <w:r>
              <w:rPr>
                <w:rFonts w:ascii="Times New Roman" w:hAnsi="Times New Roman"/>
                <w:sz w:val="14"/>
              </w:rPr>
              <w:t>-8.4 (0.380)</w:t>
            </w:r>
          </w:p>
        </w:tc>
        <w:tc>
          <w:tcPr>
            <w:tcW w:type="dxa" w:w="1040"/>
          </w:tcPr>
          <w:p>
            <w:pPr>
              <w:jc w:val="center"/>
            </w:pPr>
            <w:r/>
            <w:r>
              <w:rPr>
                <w:rFonts w:ascii="Times New Roman" w:hAnsi="Times New Roman"/>
                <w:sz w:val="14"/>
              </w:rPr>
              <w:t>11.8 (0.010)</w:t>
            </w:r>
          </w:p>
        </w:tc>
        <w:tc>
          <w:tcPr>
            <w:tcW w:type="dxa" w:w="1040"/>
          </w:tcPr>
          <w:p>
            <w:pPr>
              <w:jc w:val="center"/>
            </w:pPr>
            <w:r/>
            <w:r>
              <w:rPr>
                <w:rFonts w:ascii="Times New Roman" w:hAnsi="Times New Roman"/>
                <w:sz w:val="14"/>
              </w:rPr>
              <w:t>10.2 (0.275)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92.6 (0.348)</w:t>
            </w:r>
          </w:p>
        </w:tc>
        <w:tc>
          <w:tcPr>
            <w:tcW w:type="dxa" w:w="1040"/>
          </w:tcPr>
          <w:p>
            <w:pPr>
              <w:jc w:val="center"/>
            </w:pPr>
            <w:r/>
            <w:r>
              <w:rPr>
                <w:rFonts w:ascii="Times New Roman" w:hAnsi="Times New Roman"/>
                <w:sz w:val="14"/>
              </w:rPr>
              <w:t>43.1 (0.726)</w:t>
            </w:r>
          </w:p>
        </w:tc>
        <w:tc>
          <w:tcPr>
            <w:tcW w:type="dxa" w:w="1040"/>
          </w:tcPr>
          <w:p>
            <w:pPr>
              <w:jc w:val="center"/>
            </w:pPr>
            <w:r/>
            <w:r>
              <w:rPr>
                <w:rFonts w:ascii="Times New Roman" w:hAnsi="Times New Roman"/>
                <w:sz w:val="14"/>
              </w:rPr>
              <w:t>31.2 (0.783)</w:t>
            </w:r>
          </w:p>
        </w:tc>
        <w:tc>
          <w:tcPr>
            <w:tcW w:type="dxa" w:w="1040"/>
          </w:tcPr>
          <w:p>
            <w:pPr>
              <w:jc w:val="center"/>
            </w:pPr>
            <w:r/>
            <w:r>
              <w:rPr>
                <w:rFonts w:ascii="Times New Roman" w:hAnsi="Times New Roman"/>
                <w:sz w:val="14"/>
              </w:rPr>
              <w:t>319.1 (0.213)</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-105.6 (0.006)</w:t>
            </w:r>
          </w:p>
        </w:tc>
        <w:tc>
          <w:tcPr>
            <w:tcW w:type="dxa" w:w="1040"/>
          </w:tcPr>
          <w:p>
            <w:pPr>
              <w:jc w:val="center"/>
            </w:pPr>
            <w:r/>
            <w:r>
              <w:rPr>
                <w:rFonts w:ascii="Times New Roman" w:hAnsi="Times New Roman"/>
                <w:sz w:val="14"/>
              </w:rPr>
              <w:t>14.3 (0.610)</w:t>
            </w:r>
          </w:p>
        </w:tc>
        <w:tc>
          <w:tcPr>
            <w:tcW w:type="dxa" w:w="1040"/>
          </w:tcPr>
          <w:p>
            <w:pPr>
              <w:jc w:val="center"/>
            </w:pPr>
            <w:r/>
            <w:r>
              <w:rPr>
                <w:rFonts w:ascii="Times New Roman" w:hAnsi="Times New Roman"/>
                <w:sz w:val="14"/>
              </w:rPr>
              <w:t>53.6 (0.089)</w:t>
            </w:r>
          </w:p>
        </w:tc>
        <w:tc>
          <w:tcPr>
            <w:tcW w:type="dxa" w:w="1040"/>
          </w:tcPr>
          <w:p>
            <w:pPr>
              <w:jc w:val="center"/>
            </w:pPr>
            <w:r/>
            <w:r>
              <w:rPr>
                <w:rFonts w:ascii="Times New Roman" w:hAnsi="Times New Roman"/>
                <w:sz w:val="14"/>
              </w:rPr>
              <w:t>71.5 (0.216)</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0.986</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203.2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-158.2 (0.426)</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0.996</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-198.3 (0.000)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-141.6 (0.160)</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255.1 (0.000)</w:t>
            </w:r>
          </w:p>
        </w:tc>
        <w:tc>
          <w:tcPr>
            <w:tcW w:type="dxa" w:w="1040"/>
          </w:tcPr>
          <w:p>
            <w:pPr>
              <w:jc w:val="center"/>
            </w:pPr>
            <w:r/>
            <w:r>
              <w:rPr>
                <w:rFonts w:ascii="Times New Roman" w:hAnsi="Times New Roman"/>
                <w:sz w:val="14"/>
              </w:rPr>
              <w:t>83.4 (0.067)</w:t>
            </w:r>
          </w:p>
        </w:tc>
        <w:tc>
          <w:tcPr>
            <w:tcW w:type="dxa" w:w="1040"/>
          </w:tcPr>
          <w:p>
            <w:pPr>
              <w:jc w:val="center"/>
            </w:pPr>
            <w:r/>
            <w:r>
              <w:rPr>
                <w:rFonts w:ascii="Times New Roman" w:hAnsi="Times New Roman"/>
                <w:sz w:val="14"/>
              </w:rPr>
              <w:t>65.2 (0.165)</w:t>
            </w:r>
          </w:p>
        </w:tc>
        <w:tc>
          <w:tcPr>
            <w:tcW w:type="dxa" w:w="1040"/>
          </w:tcPr>
          <w:p>
            <w:pPr>
              <w:jc w:val="center"/>
            </w:pPr>
            <w:r/>
            <w:r>
              <w:rPr>
                <w:rFonts w:ascii="Times New Roman" w:hAnsi="Times New Roman"/>
                <w:sz w:val="14"/>
              </w:rPr>
              <w:t>49.9 (0.485)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35.0 (0.000)</w:t>
            </w:r>
          </w:p>
        </w:tc>
        <w:tc>
          <w:tcPr>
            <w:tcW w:type="dxa" w:w="1040"/>
          </w:tcPr>
          <w:p>
            <w:pPr>
              <w:jc w:val="center"/>
            </w:pPr>
            <w:r/>
            <w:r>
              <w:rPr>
                <w:rFonts w:ascii="Times New Roman" w:hAnsi="Times New Roman"/>
                <w:sz w:val="14"/>
              </w:rPr>
              <w:t>0.0 (0.959)</w:t>
            </w:r>
          </w:p>
        </w:tc>
        <w:tc>
          <w:tcPr>
            <w:tcW w:type="dxa" w:w="1040"/>
          </w:tcPr>
          <w:p>
            <w:pPr>
              <w:jc w:val="center"/>
            </w:pPr>
            <w:r/>
            <w:r>
              <w:rPr>
                <w:rFonts w:ascii="Times New Roman" w:hAnsi="Times New Roman"/>
                <w:sz w:val="14"/>
              </w:rPr>
              <w:t>0.0 (0.806)</w:t>
            </w:r>
          </w:p>
        </w:tc>
        <w:tc>
          <w:tcPr>
            <w:tcW w:type="dxa" w:w="1040"/>
          </w:tcPr>
          <w:p>
            <w:pPr>
              <w:jc w:val="center"/>
            </w:pPr>
            <w:r/>
            <w:r>
              <w:rPr>
                <w:rFonts w:ascii="Times New Roman" w:hAnsi="Times New Roman"/>
                <w:sz w:val="14"/>
              </w:rPr>
              <w:t>-0.0 (0.936)</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10.8 (0.318)</w:t>
            </w:r>
          </w:p>
        </w:tc>
        <w:tc>
          <w:tcPr>
            <w:tcW w:type="dxa" w:w="1040"/>
          </w:tcPr>
          <w:p>
            <w:pPr>
              <w:jc w:val="center"/>
            </w:pPr>
            <w:r/>
            <w:r>
              <w:rPr>
                <w:rFonts w:ascii="Times New Roman" w:hAnsi="Times New Roman"/>
                <w:sz w:val="14"/>
              </w:rPr>
              <w:t>5.6 (0.210)</w:t>
            </w:r>
          </w:p>
        </w:tc>
        <w:tc>
          <w:tcPr>
            <w:tcW w:type="dxa" w:w="1040"/>
          </w:tcPr>
          <w:p>
            <w:pPr>
              <w:jc w:val="center"/>
            </w:pPr>
            <w:r/>
            <w:r>
              <w:rPr>
                <w:rFonts w:ascii="Times New Roman" w:hAnsi="Times New Roman"/>
                <w:sz w:val="14"/>
              </w:rPr>
              <w:t>1.0 (0.933)</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-87.3 (0.000)</w:t>
            </w:r>
          </w:p>
        </w:tc>
        <w:tc>
          <w:tcPr>
            <w:tcW w:type="dxa" w:w="1040"/>
          </w:tcPr>
          <w:p>
            <w:pPr>
              <w:jc w:val="center"/>
            </w:pPr>
            <w:r/>
            <w:r>
              <w:rPr>
                <w:rFonts w:ascii="Times New Roman" w:hAnsi="Times New Roman"/>
                <w:sz w:val="14"/>
              </w:rPr>
              <w:t>-3.1 (0.682)</w:t>
            </w:r>
          </w:p>
        </w:tc>
        <w:tc>
          <w:tcPr>
            <w:tcW w:type="dxa" w:w="1040"/>
          </w:tcPr>
          <w:p>
            <w:pPr>
              <w:jc w:val="center"/>
            </w:pPr>
            <w:r/>
            <w:r>
              <w:rPr>
                <w:rFonts w:ascii="Times New Roman" w:hAnsi="Times New Roman"/>
                <w:sz w:val="14"/>
              </w:rPr>
              <w:t>11.6 (0.014)</w:t>
            </w:r>
          </w:p>
        </w:tc>
        <w:tc>
          <w:tcPr>
            <w:tcW w:type="dxa" w:w="1040"/>
          </w:tcPr>
          <w:p>
            <w:pPr>
              <w:jc w:val="center"/>
            </w:pPr>
            <w:r/>
            <w:r>
              <w:rPr>
                <w:rFonts w:ascii="Times New Roman" w:hAnsi="Times New Roman"/>
                <w:sz w:val="14"/>
              </w:rPr>
              <w:t>6.9 (0.457)</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0.975</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-7.7 (0.048)</w:t>
            </w:r>
          </w:p>
        </w:tc>
        <w:tc>
          <w:tcPr>
            <w:tcW w:type="dxa" w:w="1040"/>
          </w:tcPr>
          <w:p>
            <w:pPr>
              <w:jc w:val="center"/>
            </w:pPr>
            <w:r/>
            <w:r>
              <w:rPr>
                <w:rFonts w:ascii="Times New Roman" w:hAnsi="Times New Roman"/>
                <w:sz w:val="14"/>
              </w:rPr>
              <w:t>-34.1 (0.086)</w:t>
            </w:r>
          </w:p>
        </w:tc>
        <w:tc>
          <w:tcPr>
            <w:tcW w:type="dxa" w:w="1040"/>
          </w:tcPr>
          <w:p>
            <w:pPr>
              <w:jc w:val="center"/>
            </w:pPr>
            <w:r/>
            <w:r>
              <w:rPr>
                <w:rFonts w:ascii="Times New Roman" w:hAnsi="Times New Roman"/>
                <w:sz w:val="14"/>
              </w:rPr>
              <w:t>-19.4 (0.187)</w:t>
            </w:r>
          </w:p>
        </w:tc>
        <w:tc>
          <w:tcPr>
            <w:tcW w:type="dxa" w:w="1040"/>
          </w:tcPr>
          <w:p>
            <w:pPr>
              <w:jc w:val="center"/>
            </w:pPr>
            <w:r/>
            <w:r>
              <w:rPr>
                <w:rFonts w:ascii="Times New Roman" w:hAnsi="Times New Roman"/>
                <w:sz w:val="14"/>
              </w:rPr>
              <w:t>8.9 (0.738)</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-102.0 (0.000)</w:t>
            </w:r>
          </w:p>
        </w:tc>
        <w:tc>
          <w:tcPr>
            <w:tcW w:type="dxa" w:w="1040"/>
          </w:tcPr>
          <w:p>
            <w:pPr>
              <w:jc w:val="center"/>
            </w:pPr>
            <w:r/>
            <w:r>
              <w:rPr>
                <w:rFonts w:ascii="Times New Roman" w:hAnsi="Times New Roman"/>
                <w:sz w:val="14"/>
              </w:rPr>
              <w:t>17.8 (0.109)</w:t>
            </w:r>
          </w:p>
        </w:tc>
        <w:tc>
          <w:tcPr>
            <w:tcW w:type="dxa" w:w="1040"/>
          </w:tcPr>
          <w:p>
            <w:pPr>
              <w:jc w:val="center"/>
            </w:pPr>
            <w:r/>
            <w:r>
              <w:rPr>
                <w:rFonts w:ascii="Times New Roman" w:hAnsi="Times New Roman"/>
                <w:sz w:val="14"/>
              </w:rPr>
              <w:t>14.7 (0.103)</w:t>
            </w:r>
          </w:p>
        </w:tc>
        <w:tc>
          <w:tcPr>
            <w:tcW w:type="dxa" w:w="1040"/>
          </w:tcPr>
          <w:p>
            <w:pPr>
              <w:jc w:val="center"/>
            </w:pPr>
            <w:r/>
            <w:r>
              <w:rPr>
                <w:rFonts w:ascii="Times New Roman" w:hAnsi="Times New Roman"/>
                <w:sz w:val="14"/>
              </w:rPr>
              <w:t>0.6 (0.967)</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71.2 (0.000)</w:t>
            </w:r>
          </w:p>
        </w:tc>
        <w:tc>
          <w:tcPr>
            <w:tcW w:type="dxa" w:w="1040"/>
          </w:tcPr>
          <w:p>
            <w:pPr>
              <w:jc w:val="center"/>
            </w:pPr>
            <w:r/>
            <w:r>
              <w:rPr>
                <w:rFonts w:ascii="Times New Roman" w:hAnsi="Times New Roman"/>
                <w:sz w:val="14"/>
              </w:rPr>
              <w:t>-29.6 (0.188)</w:t>
            </w:r>
          </w:p>
        </w:tc>
        <w:tc>
          <w:tcPr>
            <w:tcW w:type="dxa" w:w="1040"/>
          </w:tcPr>
          <w:p>
            <w:pPr>
              <w:jc w:val="center"/>
            </w:pPr>
            <w:r/>
            <w:r>
              <w:rPr>
                <w:rFonts w:ascii="Times New Roman" w:hAnsi="Times New Roman"/>
                <w:sz w:val="14"/>
              </w:rPr>
              <w:t>-7.8 (0.533)</w:t>
            </w:r>
          </w:p>
        </w:tc>
        <w:tc>
          <w:tcPr>
            <w:tcW w:type="dxa" w:w="1040"/>
          </w:tcPr>
          <w:p>
            <w:pPr>
              <w:jc w:val="center"/>
            </w:pPr>
            <w:r/>
            <w:r>
              <w:rPr>
                <w:rFonts w:ascii="Times New Roman" w:hAnsi="Times New Roman"/>
                <w:sz w:val="14"/>
              </w:rPr>
              <w:t>23.9 (0.679)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-5.1 (0.000)</w:t>
            </w:r>
          </w:p>
        </w:tc>
        <w:tc>
          <w:tcPr>
            <w:tcW w:type="dxa" w:w="1040"/>
          </w:tcPr>
          <w:p>
            <w:pPr>
              <w:jc w:val="center"/>
            </w:pPr>
            <w:r/>
            <w:r>
              <w:rPr>
                <w:rFonts w:ascii="Times New Roman" w:hAnsi="Times New Roman"/>
                <w:sz w:val="14"/>
              </w:rPr>
              <w:t>4.5 (0.009)</w:t>
            </w:r>
          </w:p>
        </w:tc>
        <w:tc>
          <w:tcPr>
            <w:tcW w:type="dxa" w:w="1040"/>
          </w:tcPr>
          <w:p>
            <w:pPr>
              <w:jc w:val="center"/>
            </w:pPr>
            <w:r/>
            <w:r>
              <w:rPr>
                <w:rFonts w:ascii="Times New Roman" w:hAnsi="Times New Roman"/>
                <w:sz w:val="14"/>
              </w:rPr>
              <w:t>2.3 (0.018)</w:t>
            </w:r>
          </w:p>
        </w:tc>
        <w:tc>
          <w:tcPr>
            <w:tcW w:type="dxa" w:w="1040"/>
          </w:tcPr>
          <w:p>
            <w:pPr>
              <w:jc w:val="center"/>
            </w:pPr>
            <w:r/>
            <w:r>
              <w:rPr>
                <w:rFonts w:ascii="Times New Roman" w:hAnsi="Times New Roman"/>
                <w:sz w:val="14"/>
              </w:rPr>
              <w:t>-11.7 (0.013)</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117.0 (0.000)</w:t>
            </w:r>
          </w:p>
        </w:tc>
        <w:tc>
          <w:tcPr>
            <w:tcW w:type="dxa" w:w="1040"/>
          </w:tcPr>
          <w:p>
            <w:pPr>
              <w:jc w:val="center"/>
            </w:pPr>
            <w:r/>
            <w:r>
              <w:rPr>
                <w:rFonts w:ascii="Times New Roman" w:hAnsi="Times New Roman"/>
                <w:sz w:val="14"/>
              </w:rPr>
              <w:t>4.7 (0.679)</w:t>
            </w:r>
          </w:p>
        </w:tc>
        <w:tc>
          <w:tcPr>
            <w:tcW w:type="dxa" w:w="1040"/>
          </w:tcPr>
          <w:p>
            <w:pPr>
              <w:jc w:val="center"/>
            </w:pPr>
            <w:r/>
            <w:r>
              <w:rPr>
                <w:rFonts w:ascii="Times New Roman" w:hAnsi="Times New Roman"/>
                <w:sz w:val="14"/>
              </w:rPr>
              <w:t>8.4 (0.484)</w:t>
            </w:r>
          </w:p>
        </w:tc>
        <w:tc>
          <w:tcPr>
            <w:tcW w:type="dxa" w:w="1040"/>
          </w:tcPr>
          <w:p>
            <w:pPr>
              <w:jc w:val="center"/>
            </w:pPr>
            <w:r/>
            <w:r>
              <w:rPr>
                <w:rFonts w:ascii="Times New Roman" w:hAnsi="Times New Roman"/>
                <w:sz w:val="14"/>
              </w:rPr>
              <w:t>4.0 (0.847)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(0.867)</w:t>
            </w:r>
          </w:p>
        </w:tc>
        <w:tc>
          <w:tcPr>
            <w:tcW w:type="dxa" w:w="1040"/>
          </w:tcPr>
          <w:p>
            <w:pPr>
              <w:jc w:val="center"/>
            </w:pPr>
            <w:r/>
            <w:r>
              <w:rPr>
                <w:rFonts w:ascii="Times New Roman" w:hAnsi="Times New Roman"/>
                <w:sz w:val="14"/>
              </w:rPr>
              <w:t>0.0 (0.586)</w:t>
            </w:r>
          </w:p>
        </w:tc>
        <w:tc>
          <w:tcPr>
            <w:tcW w:type="dxa" w:w="1040"/>
          </w:tcPr>
          <w:p>
            <w:pPr>
              <w:jc w:val="center"/>
            </w:pPr>
            <w:r/>
            <w:r>
              <w:rPr>
                <w:rFonts w:ascii="Times New Roman" w:hAnsi="Times New Roman"/>
                <w:sz w:val="14"/>
              </w:rPr>
              <w:t>0.0 (0.873)</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187.5 (0.000)</w:t>
            </w:r>
          </w:p>
        </w:tc>
        <w:tc>
          <w:tcPr>
            <w:tcW w:type="dxa" w:w="1040"/>
          </w:tcPr>
          <w:p>
            <w:pPr>
              <w:jc w:val="center"/>
            </w:pPr>
            <w:r/>
            <w:r>
              <w:rPr>
                <w:rFonts w:ascii="Times New Roman" w:hAnsi="Times New Roman"/>
                <w:sz w:val="14"/>
              </w:rPr>
              <w:t>-29.4 (0.080)</w:t>
            </w:r>
          </w:p>
        </w:tc>
        <w:tc>
          <w:tcPr>
            <w:tcW w:type="dxa" w:w="1040"/>
          </w:tcPr>
          <w:p>
            <w:pPr>
              <w:jc w:val="center"/>
            </w:pPr>
            <w:r/>
            <w:r>
              <w:rPr>
                <w:rFonts w:ascii="Times New Roman" w:hAnsi="Times New Roman"/>
                <w:sz w:val="14"/>
              </w:rPr>
              <w:t>-1.1 (0.875)</w:t>
            </w:r>
          </w:p>
        </w:tc>
        <w:tc>
          <w:tcPr>
            <w:tcW w:type="dxa" w:w="1040"/>
          </w:tcPr>
          <w:p>
            <w:pPr>
              <w:jc w:val="center"/>
            </w:pPr>
            <w:r/>
            <w:r>
              <w:rPr>
                <w:rFonts w:ascii="Times New Roman" w:hAnsi="Times New Roman"/>
                <w:sz w:val="14"/>
              </w:rPr>
              <w:t>47.5 (0.082)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68.1 (0.000)</w:t>
            </w:r>
          </w:p>
        </w:tc>
        <w:tc>
          <w:tcPr>
            <w:tcW w:type="dxa" w:w="1040"/>
          </w:tcPr>
          <w:p>
            <w:pPr>
              <w:jc w:val="center"/>
            </w:pPr>
            <w:r/>
            <w:r>
              <w:rPr>
                <w:rFonts w:ascii="Times New Roman" w:hAnsi="Times New Roman"/>
                <w:sz w:val="14"/>
              </w:rPr>
              <w:t>1.2 (0.638)</w:t>
            </w:r>
          </w:p>
        </w:tc>
        <w:tc>
          <w:tcPr>
            <w:tcW w:type="dxa" w:w="1040"/>
          </w:tcPr>
          <w:p>
            <w:pPr>
              <w:jc w:val="center"/>
            </w:pPr>
            <w:r/>
            <w:r>
              <w:rPr>
                <w:rFonts w:ascii="Times New Roman" w:hAnsi="Times New Roman"/>
                <w:sz w:val="14"/>
              </w:rPr>
              <w:t>8.5 (0.002)</w:t>
            </w:r>
          </w:p>
        </w:tc>
        <w:tc>
          <w:tcPr>
            <w:tcW w:type="dxa" w:w="1040"/>
          </w:tcPr>
          <w:p>
            <w:pPr>
              <w:jc w:val="center"/>
            </w:pPr>
            <w:r/>
            <w:r>
              <w:rPr>
                <w:rFonts w:ascii="Times New Roman" w:hAnsi="Times New Roman"/>
                <w:sz w:val="14"/>
              </w:rPr>
              <w:t>5.1 (0.253)</w:t>
            </w:r>
          </w:p>
        </w:tc>
      </w:tr>
    </w:tbl>
    <w:p/>
    <w:p>
      <w:r>
        <w:br w:type="page"/>
      </w:r>
    </w:p>
    <w:p>
      <w:pPr>
        <w:pStyle w:val="Heading2"/>
      </w:pPr>
      <w:r>
        <w:rPr>
          <w:rFonts w:ascii="Times New Roman" w:hAnsi="Times New Roman"/>
          <w:color w:val="000000"/>
        </w:rPr>
        <w:t>Supplementary Table S3. Cross-Correlation Coefficients at Optimal Lag for All Specialty-Definition-Outcome Combinations</w:t>
      </w:r>
    </w:p>
    <w:p>
      <w:pPr>
        <w:spacing w:after="240" w:line="480" w:lineRule="auto"/>
      </w:pPr>
      <w:r>
        <w:rPr>
          <w:rFonts w:ascii="Times New Roman" w:hAnsi="Times New Roman"/>
          <w:b w:val="0"/>
          <w:i/>
          <w:sz w:val="24"/>
        </w:rPr>
        <w:t>Pearson correlation coefficients computed after linear detrending of both series. Lag = years by which the incident series is shifted relative to the outcome series; positive lag means incidents precede outcome changes.</w:t>
      </w:r>
    </w:p>
    <w:p>
      <w:pPr>
        <w:spacing w:after="120" w:line="480" w:lineRule="auto"/>
      </w:pPr>
      <w:r>
        <w:rPr>
          <w:rFonts w:ascii="Times New Roman" w:hAnsi="Times New Roman"/>
          <w:b/>
          <w:sz w:val="20"/>
        </w:rPr>
        <w:t>Supplementary Table S3. Cross-correlation coefficients at optimal lag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-0.710</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-0.744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-0.819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-0.719</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-0.790</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-0.844</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-0.675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-0.657</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-0.853</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-0.592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-0.731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-0.808</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-0.565</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-0.440</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-0.507</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-0.880</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-0.522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-0.702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-0.838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-0.633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-0.857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-0.654</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-0.625</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-0.526</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-0.500</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-0.758</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-0.652</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-0.728</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-0.543</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-0.875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-0.590</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-0.848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-0.541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-0.481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-0.879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-0.404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-0.425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-0.806</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-0.801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-0.491</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-0.603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-0.668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-0.548</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-0.297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-0.330</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-0.662</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-0.640</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-0.743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-0.663</w:t>
            </w:r>
          </w:p>
        </w:tc>
      </w:tr>
    </w:tbl>
    <w:p/>
    <w:p>
      <w:r>
        <w:br w:type="page"/>
      </w:r>
    </w:p>
    <w:p>
      <w:pPr>
        <w:pStyle w:val="Heading2"/>
      </w:pPr>
      <w:r>
        <w:rPr>
          <w:rFonts w:ascii="Times New Roman" w:hAnsi="Times New Roman"/>
          <w:color w:val="000000"/>
        </w:rPr>
        <w:t>Supplementary Table S4. AIC-Based Window Period Estimates for All Specialty-Definition-Outcome Combinations</w:t>
      </w:r>
    </w:p>
    <w:p>
      <w:pPr>
        <w:spacing w:after="240" w:line="480" w:lineRule="auto"/>
      </w:pPr>
      <w:r>
        <w:rPr>
          <w:rFonts w:ascii="Times New Roman" w:hAnsi="Times New Roman"/>
          <w:b w:val="0"/>
          <w:i/>
          <w:sz w:val="24"/>
        </w:rPr>
        <w:t>Window period = duration (years) of the binary intervention indicator yielding the lowest AIC in the segmented regression model.</w:t>
      </w:r>
    </w:p>
    <w:p>
      <w:pPr>
        <w:spacing w:after="120" w:line="480" w:lineRule="auto"/>
      </w:pPr>
      <w:r>
        <w:rPr>
          <w:rFonts w:ascii="Times New Roman" w:hAnsi="Times New Roman"/>
          <w:b/>
          <w:sz w:val="20"/>
        </w:rPr>
        <w:t>Supplementary Table S4. AIC-based window period estimates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Definition</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Window period (years)</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9</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